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2885" w14:textId="77777777" w:rsidR="001B5A0B" w:rsidRPr="00857DEC" w:rsidRDefault="001B5A0B" w:rsidP="001B5A0B">
      <w:pPr>
        <w:widowControl/>
        <w:jc w:val="center"/>
        <w:outlineLvl w:val="0"/>
        <w:rPr>
          <w:rFonts w:eastAsia="Calibri"/>
          <w:b/>
          <w:szCs w:val="22"/>
          <w:lang w:val="es-AR"/>
        </w:rPr>
      </w:pPr>
      <w:r w:rsidRPr="00857DEC">
        <w:rPr>
          <w:rFonts w:eastAsia="Calibri"/>
          <w:b/>
          <w:szCs w:val="22"/>
          <w:lang w:val="es-AR"/>
        </w:rPr>
        <w:t>ORDEN DE COMPRA</w:t>
      </w:r>
      <w:r w:rsidRPr="00857DEC">
        <w:rPr>
          <w:rFonts w:eastAsia="Calibri"/>
          <w:b/>
          <w:szCs w:val="24"/>
          <w:lang w:val="es-AR"/>
        </w:rPr>
        <w:t xml:space="preserve"> IRREVOCABLE DE</w:t>
      </w:r>
    </w:p>
    <w:p w14:paraId="7F0B7BEC" w14:textId="77777777" w:rsidR="00003493" w:rsidRPr="00003493" w:rsidRDefault="00003493" w:rsidP="00003493">
      <w:pPr>
        <w:widowControl/>
        <w:jc w:val="center"/>
        <w:outlineLvl w:val="0"/>
        <w:rPr>
          <w:b/>
          <w:smallCaps/>
          <w:szCs w:val="24"/>
          <w:lang w:eastAsia="en-US"/>
        </w:rPr>
      </w:pPr>
      <w:r w:rsidRPr="00003493">
        <w:rPr>
          <w:b/>
          <w:smallCaps/>
          <w:szCs w:val="24"/>
          <w:lang w:eastAsia="en-US"/>
        </w:rPr>
        <w:t>OBLIGACIONES NEGOCIABLES BAJO EL RÉGIMEN PYME CNV GARANTIZADA</w:t>
      </w:r>
    </w:p>
    <w:p w14:paraId="769E1A32" w14:textId="77777777" w:rsidR="00003493" w:rsidRPr="00003493" w:rsidRDefault="00003493" w:rsidP="00003493">
      <w:pPr>
        <w:widowControl/>
        <w:jc w:val="center"/>
        <w:outlineLvl w:val="0"/>
        <w:rPr>
          <w:b/>
          <w:smallCaps/>
          <w:szCs w:val="24"/>
          <w:lang w:eastAsia="en-US"/>
        </w:rPr>
      </w:pPr>
      <w:r w:rsidRPr="00003493">
        <w:rPr>
          <w:b/>
          <w:smallCaps/>
          <w:szCs w:val="24"/>
          <w:lang w:eastAsia="en-US"/>
        </w:rPr>
        <w:t>3D LATINOAMERICA SERIE I</w:t>
      </w:r>
    </w:p>
    <w:p w14:paraId="2A5FEDF8" w14:textId="77777777" w:rsidR="00003493" w:rsidRPr="00003493" w:rsidRDefault="00003493" w:rsidP="00003493">
      <w:pPr>
        <w:widowControl/>
        <w:jc w:val="center"/>
        <w:outlineLvl w:val="0"/>
        <w:rPr>
          <w:b/>
          <w:smallCaps/>
          <w:szCs w:val="24"/>
          <w:lang w:eastAsia="en-US"/>
        </w:rPr>
      </w:pPr>
    </w:p>
    <w:p w14:paraId="0B940607" w14:textId="3D391C09" w:rsidR="00003493" w:rsidRDefault="00003493" w:rsidP="00003493">
      <w:pPr>
        <w:widowControl/>
        <w:jc w:val="center"/>
        <w:outlineLvl w:val="0"/>
        <w:rPr>
          <w:b/>
          <w:smallCaps/>
          <w:szCs w:val="24"/>
          <w:lang w:eastAsia="en-US"/>
        </w:rPr>
      </w:pPr>
      <w:r w:rsidRPr="00003493">
        <w:rPr>
          <w:b/>
          <w:smallCaps/>
          <w:szCs w:val="24"/>
          <w:lang w:eastAsia="en-US"/>
        </w:rPr>
        <w:t>POR UN VALOR NOMINAL DE HASTA $ 400.000.000 (PESOS CUATROCIENTOS MILLONES), DENOMINADAS, INTEGRADAS Y PAGADERAS EN PESOS A UNA TASA DE INTERÉS VARIABLE CON VENCIMIENTO A LOS 24 (VEINTICUATRO) MESES CONTADOS DESDE LA FECHA DE EMISIÓN Y LIQUIDACIÓN</w:t>
      </w:r>
    </w:p>
    <w:p w14:paraId="39C591A1" w14:textId="77777777" w:rsidR="001B5A0B" w:rsidRPr="004649C7" w:rsidRDefault="001B5A0B" w:rsidP="001B5A0B">
      <w:pPr>
        <w:widowControl/>
        <w:jc w:val="center"/>
        <w:outlineLvl w:val="0"/>
        <w:rPr>
          <w:rFonts w:eastAsia="Calibri"/>
          <w:b/>
          <w:sz w:val="22"/>
          <w:szCs w:val="22"/>
          <w:lang w:val="es-AR"/>
        </w:rPr>
      </w:pPr>
    </w:p>
    <w:p w14:paraId="6B70932B" w14:textId="39F4D39A" w:rsidR="001B5A0B" w:rsidRPr="004649C7" w:rsidRDefault="001B5A0B" w:rsidP="001B5A0B">
      <w:pPr>
        <w:spacing w:after="120"/>
        <w:jc w:val="right"/>
        <w:rPr>
          <w:sz w:val="22"/>
          <w:szCs w:val="22"/>
          <w:lang w:val="es-AR"/>
        </w:rPr>
      </w:pPr>
      <w:r w:rsidRPr="004649C7">
        <w:rPr>
          <w:sz w:val="22"/>
          <w:szCs w:val="22"/>
          <w:lang w:val="es-AR"/>
        </w:rPr>
        <w:t xml:space="preserve">Ciudad Autónoma de Buenos Aires, </w:t>
      </w:r>
      <w:r w:rsidR="003C56F0">
        <w:rPr>
          <w:sz w:val="22"/>
          <w:szCs w:val="22"/>
          <w:lang w:val="es-AR"/>
        </w:rPr>
        <w:t>11</w:t>
      </w:r>
      <w:r w:rsidR="00FF00E7">
        <w:rPr>
          <w:sz w:val="22"/>
          <w:szCs w:val="22"/>
          <w:lang w:val="es-AR"/>
        </w:rPr>
        <w:t xml:space="preserve"> </w:t>
      </w:r>
      <w:r w:rsidRPr="004649C7">
        <w:rPr>
          <w:sz w:val="22"/>
          <w:szCs w:val="22"/>
          <w:lang w:val="es-AR"/>
        </w:rPr>
        <w:t xml:space="preserve">de </w:t>
      </w:r>
      <w:r w:rsidR="00FF00E7">
        <w:rPr>
          <w:sz w:val="22"/>
          <w:szCs w:val="22"/>
          <w:lang w:val="es-AR"/>
        </w:rPr>
        <w:t>agosto</w:t>
      </w:r>
      <w:r w:rsidR="00FF00E7" w:rsidRPr="004649C7">
        <w:rPr>
          <w:sz w:val="22"/>
          <w:szCs w:val="22"/>
          <w:lang w:val="es-AR"/>
        </w:rPr>
        <w:t xml:space="preserve"> </w:t>
      </w:r>
      <w:r w:rsidRPr="004649C7">
        <w:rPr>
          <w:sz w:val="22"/>
          <w:szCs w:val="22"/>
          <w:lang w:val="es-AR"/>
        </w:rPr>
        <w:t>de 202</w:t>
      </w:r>
      <w:r w:rsidR="00683BCF">
        <w:rPr>
          <w:sz w:val="22"/>
          <w:szCs w:val="22"/>
          <w:lang w:val="es-AR"/>
        </w:rPr>
        <w:t>5</w:t>
      </w:r>
    </w:p>
    <w:p w14:paraId="58CAD5FA" w14:textId="77777777" w:rsidR="001B5A0B" w:rsidRPr="004649C7" w:rsidRDefault="001B5A0B" w:rsidP="001B5A0B">
      <w:pPr>
        <w:ind w:left="-567"/>
        <w:rPr>
          <w:sz w:val="22"/>
          <w:szCs w:val="22"/>
          <w:lang w:val="es-AR"/>
        </w:rPr>
      </w:pPr>
      <w:r w:rsidRPr="004649C7">
        <w:rPr>
          <w:sz w:val="22"/>
          <w:szCs w:val="22"/>
          <w:lang w:val="es-AR"/>
        </w:rPr>
        <w:t>Señores</w:t>
      </w:r>
    </w:p>
    <w:p w14:paraId="787FAD4F" w14:textId="3987B752" w:rsidR="001B5A0B" w:rsidRPr="008F1A63" w:rsidRDefault="003C56F0" w:rsidP="001B5A0B">
      <w:pPr>
        <w:ind w:left="-567" w:right="-285"/>
        <w:rPr>
          <w:b/>
          <w:bCs/>
          <w:sz w:val="22"/>
          <w:szCs w:val="22"/>
          <w:lang w:val="es-AR"/>
        </w:rPr>
      </w:pPr>
      <w:r w:rsidRPr="008F1A63">
        <w:rPr>
          <w:b/>
          <w:bCs/>
          <w:sz w:val="22"/>
          <w:szCs w:val="22"/>
          <w:lang w:val="es-AR"/>
        </w:rPr>
        <w:t>Allaria S.A</w:t>
      </w:r>
    </w:p>
    <w:p w14:paraId="5528B991" w14:textId="77777777" w:rsidR="001B5A0B" w:rsidRPr="004649C7" w:rsidRDefault="001B5A0B" w:rsidP="001B5A0B">
      <w:pPr>
        <w:ind w:left="-567"/>
        <w:rPr>
          <w:sz w:val="22"/>
          <w:szCs w:val="22"/>
          <w:lang w:val="es-AR"/>
        </w:rPr>
      </w:pPr>
      <w:r w:rsidRPr="004649C7">
        <w:rPr>
          <w:sz w:val="22"/>
          <w:szCs w:val="22"/>
          <w:lang w:val="es-AR"/>
        </w:rPr>
        <w:t>Ciudad Autónoma de Buenos Aires</w:t>
      </w:r>
    </w:p>
    <w:p w14:paraId="1663D1E9" w14:textId="77777777" w:rsidR="001B5A0B" w:rsidRPr="004649C7" w:rsidRDefault="001B5A0B" w:rsidP="001B5A0B">
      <w:pPr>
        <w:ind w:left="-567" w:right="-285"/>
        <w:rPr>
          <w:sz w:val="22"/>
          <w:szCs w:val="22"/>
          <w:lang w:val="es-AR"/>
        </w:rPr>
      </w:pPr>
      <w:r w:rsidRPr="004649C7">
        <w:rPr>
          <w:sz w:val="22"/>
          <w:szCs w:val="22"/>
          <w:lang w:val="es-AR"/>
        </w:rPr>
        <w:t xml:space="preserve">En su carácter de Colocador </w:t>
      </w:r>
    </w:p>
    <w:p w14:paraId="0E789025" w14:textId="77777777" w:rsidR="001B5A0B" w:rsidRPr="004649C7" w:rsidRDefault="001B5A0B" w:rsidP="001B5A0B">
      <w:pPr>
        <w:ind w:left="-567"/>
        <w:rPr>
          <w:sz w:val="22"/>
          <w:szCs w:val="22"/>
          <w:u w:val="single"/>
          <w:lang w:val="es-AR"/>
        </w:rPr>
      </w:pPr>
      <w:r w:rsidRPr="004649C7">
        <w:rPr>
          <w:sz w:val="22"/>
          <w:szCs w:val="22"/>
          <w:u w:val="single"/>
          <w:lang w:val="es-AR"/>
        </w:rPr>
        <w:t xml:space="preserve">Presente </w:t>
      </w:r>
    </w:p>
    <w:p w14:paraId="423E8D45" w14:textId="77777777" w:rsidR="001B5A0B" w:rsidRPr="004649C7" w:rsidRDefault="001B5A0B" w:rsidP="001B5A0B">
      <w:pPr>
        <w:spacing w:after="120"/>
        <w:ind w:left="-567" w:firstLine="567"/>
        <w:rPr>
          <w:sz w:val="22"/>
          <w:szCs w:val="22"/>
          <w:lang w:val="es-AR"/>
        </w:rPr>
      </w:pPr>
    </w:p>
    <w:p w14:paraId="74BE61E3" w14:textId="75820DD9" w:rsidR="001B5A0B" w:rsidRPr="004649C7" w:rsidRDefault="001B5A0B" w:rsidP="00897FF0">
      <w:pPr>
        <w:ind w:leftChars="1933" w:left="4639" w:right="-1" w:firstLine="2"/>
        <w:jc w:val="both"/>
        <w:rPr>
          <w:b/>
          <w:sz w:val="22"/>
          <w:szCs w:val="22"/>
          <w:lang w:val="es-AR"/>
        </w:rPr>
      </w:pPr>
      <w:r w:rsidRPr="004649C7">
        <w:rPr>
          <w:b/>
          <w:sz w:val="22"/>
          <w:szCs w:val="22"/>
          <w:u w:val="single"/>
          <w:lang w:val="es-AR"/>
        </w:rPr>
        <w:t>Ref.</w:t>
      </w:r>
      <w:r w:rsidRPr="004649C7">
        <w:rPr>
          <w:b/>
          <w:sz w:val="22"/>
          <w:szCs w:val="22"/>
          <w:lang w:val="es-AR"/>
        </w:rPr>
        <w:t xml:space="preserve">: Orden de Compra – ON </w:t>
      </w:r>
      <w:proofErr w:type="spellStart"/>
      <w:r w:rsidRPr="004649C7">
        <w:rPr>
          <w:b/>
          <w:sz w:val="22"/>
          <w:szCs w:val="22"/>
          <w:lang w:val="es-AR"/>
        </w:rPr>
        <w:t>PyME</w:t>
      </w:r>
      <w:proofErr w:type="spellEnd"/>
      <w:r w:rsidRPr="004649C7">
        <w:rPr>
          <w:b/>
          <w:sz w:val="22"/>
          <w:szCs w:val="22"/>
          <w:lang w:val="es-AR"/>
        </w:rPr>
        <w:t xml:space="preserve"> CNV Garantizada </w:t>
      </w:r>
      <w:r w:rsidR="00003493">
        <w:rPr>
          <w:b/>
          <w:sz w:val="22"/>
          <w:szCs w:val="22"/>
          <w:lang w:val="es-AR"/>
        </w:rPr>
        <w:t>3D LATINOAMERICA</w:t>
      </w:r>
      <w:r w:rsidR="00897FF0">
        <w:rPr>
          <w:b/>
          <w:sz w:val="22"/>
          <w:szCs w:val="22"/>
          <w:lang w:val="es-AR"/>
        </w:rPr>
        <w:t xml:space="preserve"> </w:t>
      </w:r>
      <w:r w:rsidRPr="004649C7">
        <w:rPr>
          <w:b/>
          <w:sz w:val="22"/>
          <w:szCs w:val="22"/>
          <w:lang w:val="es-AR"/>
        </w:rPr>
        <w:t xml:space="preserve">Serie </w:t>
      </w:r>
      <w:r w:rsidR="004B7CA6">
        <w:rPr>
          <w:b/>
          <w:sz w:val="22"/>
          <w:szCs w:val="22"/>
          <w:lang w:val="es-AR"/>
        </w:rPr>
        <w:t>I</w:t>
      </w:r>
      <w:r w:rsidRPr="004649C7">
        <w:rPr>
          <w:b/>
          <w:sz w:val="22"/>
          <w:szCs w:val="22"/>
          <w:lang w:val="es-AR"/>
        </w:rPr>
        <w:t>.</w:t>
      </w:r>
    </w:p>
    <w:p w14:paraId="46BE28CA" w14:textId="77777777" w:rsidR="001B5A0B" w:rsidRPr="004649C7" w:rsidRDefault="001B5A0B" w:rsidP="001B5A0B">
      <w:pPr>
        <w:spacing w:after="120"/>
        <w:ind w:left="-567" w:firstLineChars="322" w:firstLine="708"/>
        <w:jc w:val="both"/>
        <w:rPr>
          <w:sz w:val="22"/>
          <w:szCs w:val="22"/>
          <w:lang w:val="es-AR"/>
        </w:rPr>
      </w:pPr>
    </w:p>
    <w:p w14:paraId="082FB9CF" w14:textId="7E0651E2" w:rsidR="001B5A0B" w:rsidRDefault="001B5A0B" w:rsidP="001B5A0B">
      <w:pPr>
        <w:spacing w:after="120"/>
        <w:ind w:left="-567" w:firstLineChars="322" w:firstLine="708"/>
        <w:jc w:val="both"/>
        <w:rPr>
          <w:sz w:val="22"/>
          <w:szCs w:val="22"/>
          <w:lang w:val="es-AR"/>
        </w:rPr>
      </w:pPr>
      <w:r w:rsidRPr="004649C7">
        <w:rPr>
          <w:sz w:val="22"/>
          <w:szCs w:val="22"/>
          <w:lang w:val="es-AR"/>
        </w:rPr>
        <w:t>Por medio de la presente el / los abajo firmantes (el “</w:t>
      </w:r>
      <w:r w:rsidRPr="004649C7">
        <w:rPr>
          <w:b/>
          <w:sz w:val="22"/>
          <w:szCs w:val="22"/>
          <w:u w:val="single"/>
          <w:lang w:val="es-AR"/>
        </w:rPr>
        <w:t>Oferente</w:t>
      </w:r>
      <w:r w:rsidRPr="004649C7">
        <w:rPr>
          <w:sz w:val="22"/>
          <w:szCs w:val="22"/>
          <w:lang w:val="es-AR"/>
        </w:rPr>
        <w:t xml:space="preserve">”), se dirige/n a </w:t>
      </w:r>
      <w:r w:rsidR="003C56F0">
        <w:rPr>
          <w:sz w:val="22"/>
          <w:szCs w:val="22"/>
          <w:lang w:val="es-AR"/>
        </w:rPr>
        <w:t>Allaria S.A</w:t>
      </w:r>
      <w:r w:rsidRPr="004649C7">
        <w:rPr>
          <w:sz w:val="22"/>
          <w:szCs w:val="22"/>
          <w:lang w:val="es-AR"/>
        </w:rPr>
        <w:t xml:space="preserve"> (el “</w:t>
      </w:r>
      <w:r w:rsidRPr="004649C7">
        <w:rPr>
          <w:b/>
          <w:sz w:val="22"/>
          <w:szCs w:val="22"/>
          <w:u w:val="single"/>
          <w:lang w:val="es-AR"/>
        </w:rPr>
        <w:t>Colocador</w:t>
      </w:r>
      <w:r w:rsidRPr="004649C7">
        <w:rPr>
          <w:sz w:val="22"/>
          <w:szCs w:val="22"/>
          <w:lang w:val="es-AR"/>
        </w:rPr>
        <w:t>”) en relación con las</w:t>
      </w:r>
      <w:r w:rsidRPr="004649C7">
        <w:rPr>
          <w:sz w:val="22"/>
          <w:szCs w:val="22"/>
          <w:lang w:eastAsia="en-US"/>
        </w:rPr>
        <w:t xml:space="preserve"> obligaciones negociables </w:t>
      </w:r>
      <w:r w:rsidR="00003493">
        <w:rPr>
          <w:sz w:val="22"/>
          <w:szCs w:val="22"/>
          <w:lang w:eastAsia="en-US"/>
        </w:rPr>
        <w:t>3D LATINOAMERICA</w:t>
      </w:r>
      <w:r w:rsidR="00897FF0">
        <w:rPr>
          <w:sz w:val="22"/>
          <w:szCs w:val="22"/>
          <w:lang w:eastAsia="en-US"/>
        </w:rPr>
        <w:t xml:space="preserve"> </w:t>
      </w:r>
      <w:r w:rsidRPr="004649C7">
        <w:rPr>
          <w:sz w:val="22"/>
          <w:szCs w:val="22"/>
          <w:lang w:eastAsia="en-US"/>
        </w:rPr>
        <w:t xml:space="preserve">Serie </w:t>
      </w:r>
      <w:r w:rsidR="004B7CA6">
        <w:rPr>
          <w:sz w:val="22"/>
          <w:szCs w:val="22"/>
          <w:lang w:eastAsia="en-US"/>
        </w:rPr>
        <w:t>I</w:t>
      </w:r>
      <w:r w:rsidRPr="004649C7">
        <w:rPr>
          <w:sz w:val="22"/>
          <w:szCs w:val="22"/>
          <w:lang w:eastAsia="en-US"/>
        </w:rPr>
        <w:t>, denominadas, integradas y pagaderas en pesos a una tasa de interés variable con vencimiento a los 24 meses de la Fecha de Emisión y Liquidación (las “</w:t>
      </w:r>
      <w:r w:rsidRPr="004649C7">
        <w:rPr>
          <w:b/>
          <w:sz w:val="22"/>
          <w:szCs w:val="22"/>
          <w:u w:val="single"/>
          <w:lang w:eastAsia="en-US"/>
        </w:rPr>
        <w:t xml:space="preserve">ON </w:t>
      </w:r>
      <w:r w:rsidR="00003493">
        <w:rPr>
          <w:b/>
          <w:sz w:val="22"/>
          <w:szCs w:val="22"/>
          <w:u w:val="single"/>
          <w:lang w:eastAsia="en-US"/>
        </w:rPr>
        <w:t>3D LATINOAMERICA</w:t>
      </w:r>
      <w:r w:rsidR="00897FF0">
        <w:rPr>
          <w:b/>
          <w:sz w:val="22"/>
          <w:szCs w:val="22"/>
          <w:u w:val="single"/>
          <w:lang w:eastAsia="en-US"/>
        </w:rPr>
        <w:t xml:space="preserve"> </w:t>
      </w:r>
      <w:r w:rsidRPr="004649C7">
        <w:rPr>
          <w:b/>
          <w:sz w:val="22"/>
          <w:szCs w:val="22"/>
          <w:u w:val="single"/>
          <w:lang w:eastAsia="en-US"/>
        </w:rPr>
        <w:t xml:space="preserve">Serie </w:t>
      </w:r>
      <w:r w:rsidR="004B7CA6">
        <w:rPr>
          <w:b/>
          <w:sz w:val="22"/>
          <w:szCs w:val="22"/>
          <w:u w:val="single"/>
          <w:lang w:eastAsia="en-US"/>
        </w:rPr>
        <w:t>I</w:t>
      </w:r>
      <w:r w:rsidRPr="004649C7">
        <w:rPr>
          <w:sz w:val="22"/>
          <w:szCs w:val="22"/>
          <w:lang w:eastAsia="en-US"/>
        </w:rPr>
        <w:t>”</w:t>
      </w:r>
      <w:r w:rsidR="00003493">
        <w:rPr>
          <w:sz w:val="22"/>
          <w:szCs w:val="22"/>
          <w:lang w:eastAsia="en-US"/>
        </w:rPr>
        <w:t xml:space="preserve"> o las</w:t>
      </w:r>
      <w:r w:rsidRPr="004649C7">
        <w:rPr>
          <w:sz w:val="22"/>
          <w:szCs w:val="22"/>
          <w:lang w:eastAsia="en-US"/>
        </w:rPr>
        <w:t xml:space="preserve"> “</w:t>
      </w:r>
      <w:r w:rsidRPr="004649C7">
        <w:rPr>
          <w:b/>
          <w:sz w:val="22"/>
          <w:szCs w:val="22"/>
          <w:u w:val="single"/>
          <w:lang w:eastAsia="en-US"/>
        </w:rPr>
        <w:t>Obligaciones Negociables</w:t>
      </w:r>
      <w:r w:rsidRPr="004649C7">
        <w:rPr>
          <w:sz w:val="22"/>
          <w:szCs w:val="22"/>
          <w:lang w:eastAsia="en-US"/>
        </w:rPr>
        <w:t xml:space="preserve">”) por un valor nominal de hasta $ </w:t>
      </w:r>
      <w:r w:rsidR="00003493">
        <w:rPr>
          <w:sz w:val="22"/>
          <w:szCs w:val="22"/>
          <w:lang w:eastAsia="en-US"/>
        </w:rPr>
        <w:t>400</w:t>
      </w:r>
      <w:r w:rsidR="00515733">
        <w:rPr>
          <w:sz w:val="22"/>
          <w:szCs w:val="22"/>
          <w:lang w:eastAsia="en-US"/>
        </w:rPr>
        <w:t>.</w:t>
      </w:r>
      <w:r w:rsidR="00897FF0">
        <w:rPr>
          <w:sz w:val="22"/>
          <w:szCs w:val="22"/>
          <w:lang w:eastAsia="en-US"/>
        </w:rPr>
        <w:t>0</w:t>
      </w:r>
      <w:r w:rsidR="004B7CA6">
        <w:rPr>
          <w:sz w:val="22"/>
          <w:szCs w:val="22"/>
          <w:lang w:eastAsia="en-US"/>
        </w:rPr>
        <w:t>0</w:t>
      </w:r>
      <w:r w:rsidR="00515733">
        <w:rPr>
          <w:sz w:val="22"/>
          <w:szCs w:val="22"/>
          <w:lang w:eastAsia="en-US"/>
        </w:rPr>
        <w:t>0</w:t>
      </w:r>
      <w:r w:rsidRPr="004649C7">
        <w:rPr>
          <w:sz w:val="22"/>
          <w:szCs w:val="22"/>
          <w:lang w:eastAsia="en-US"/>
        </w:rPr>
        <w:t>.000 (</w:t>
      </w:r>
      <w:r w:rsidR="00003493">
        <w:rPr>
          <w:sz w:val="22"/>
          <w:szCs w:val="22"/>
          <w:lang w:eastAsia="en-US"/>
        </w:rPr>
        <w:t>Pesos cuatrocientos millones</w:t>
      </w:r>
      <w:r w:rsidRPr="004649C7">
        <w:rPr>
          <w:sz w:val="22"/>
          <w:szCs w:val="22"/>
          <w:lang w:eastAsia="en-US"/>
        </w:rPr>
        <w:t>) (el “</w:t>
      </w:r>
      <w:r w:rsidRPr="004649C7">
        <w:rPr>
          <w:b/>
          <w:sz w:val="22"/>
          <w:szCs w:val="22"/>
          <w:u w:val="single"/>
          <w:lang w:eastAsia="en-US"/>
        </w:rPr>
        <w:t>Monto Máximo de</w:t>
      </w:r>
      <w:r w:rsidRPr="004649C7">
        <w:rPr>
          <w:b/>
          <w:spacing w:val="-2"/>
          <w:sz w:val="22"/>
          <w:szCs w:val="22"/>
          <w:u w:val="single"/>
          <w:lang w:eastAsia="en-US"/>
        </w:rPr>
        <w:t xml:space="preserve"> </w:t>
      </w:r>
      <w:r w:rsidRPr="004649C7">
        <w:rPr>
          <w:b/>
          <w:sz w:val="22"/>
          <w:szCs w:val="22"/>
          <w:u w:val="single"/>
          <w:lang w:eastAsia="en-US"/>
        </w:rPr>
        <w:t>la Emisión</w:t>
      </w:r>
      <w:r w:rsidRPr="004649C7">
        <w:rPr>
          <w:sz w:val="22"/>
          <w:szCs w:val="22"/>
          <w:lang w:eastAsia="en-US"/>
        </w:rPr>
        <w:t>”)</w:t>
      </w:r>
      <w:r w:rsidRPr="004649C7">
        <w:rPr>
          <w:sz w:val="22"/>
          <w:szCs w:val="22"/>
          <w:lang w:val="es-AR"/>
        </w:rPr>
        <w:t xml:space="preserve">, que serán emitidas por </w:t>
      </w:r>
      <w:r w:rsidR="00003493">
        <w:rPr>
          <w:sz w:val="22"/>
          <w:szCs w:val="22"/>
          <w:lang w:val="es-AR"/>
        </w:rPr>
        <w:t>3D LATINOAMERICA</w:t>
      </w:r>
      <w:r>
        <w:rPr>
          <w:sz w:val="22"/>
          <w:szCs w:val="22"/>
          <w:lang w:val="es-AR"/>
        </w:rPr>
        <w:t xml:space="preserve"> S.A</w:t>
      </w:r>
      <w:r w:rsidR="00683BCF">
        <w:rPr>
          <w:sz w:val="22"/>
          <w:szCs w:val="22"/>
          <w:lang w:val="es-AR"/>
        </w:rPr>
        <w:t>.</w:t>
      </w:r>
      <w:r w:rsidRPr="004649C7">
        <w:rPr>
          <w:sz w:val="22"/>
          <w:szCs w:val="22"/>
          <w:lang w:eastAsia="en-US"/>
        </w:rPr>
        <w:t xml:space="preserve"> (la</w:t>
      </w:r>
      <w:r w:rsidRPr="004649C7">
        <w:rPr>
          <w:spacing w:val="-1"/>
          <w:sz w:val="22"/>
          <w:szCs w:val="22"/>
          <w:lang w:eastAsia="en-US"/>
        </w:rPr>
        <w:t xml:space="preserve"> </w:t>
      </w:r>
      <w:r w:rsidRPr="004649C7">
        <w:rPr>
          <w:sz w:val="22"/>
          <w:szCs w:val="22"/>
          <w:lang w:eastAsia="en-US"/>
        </w:rPr>
        <w:t>“</w:t>
      </w:r>
      <w:r w:rsidRPr="004649C7">
        <w:rPr>
          <w:b/>
          <w:sz w:val="22"/>
          <w:szCs w:val="22"/>
          <w:u w:val="single"/>
          <w:lang w:eastAsia="en-US"/>
        </w:rPr>
        <w:t>Emisora</w:t>
      </w:r>
      <w:r w:rsidRPr="004649C7">
        <w:rPr>
          <w:sz w:val="22"/>
          <w:szCs w:val="22"/>
          <w:lang w:eastAsia="en-US"/>
        </w:rPr>
        <w:t>”</w:t>
      </w:r>
      <w:r w:rsidRPr="004649C7">
        <w:rPr>
          <w:spacing w:val="-2"/>
          <w:sz w:val="22"/>
          <w:szCs w:val="22"/>
          <w:lang w:eastAsia="en-US"/>
        </w:rPr>
        <w:t xml:space="preserve"> </w:t>
      </w:r>
      <w:r w:rsidRPr="004649C7">
        <w:rPr>
          <w:sz w:val="22"/>
          <w:szCs w:val="22"/>
          <w:lang w:eastAsia="en-US"/>
        </w:rPr>
        <w:t>o</w:t>
      </w:r>
      <w:r w:rsidRPr="004649C7">
        <w:rPr>
          <w:spacing w:val="-2"/>
          <w:sz w:val="22"/>
          <w:szCs w:val="22"/>
          <w:lang w:eastAsia="en-US"/>
        </w:rPr>
        <w:t xml:space="preserve"> </w:t>
      </w:r>
      <w:r w:rsidRPr="004649C7">
        <w:rPr>
          <w:sz w:val="22"/>
          <w:szCs w:val="22"/>
          <w:lang w:eastAsia="en-US"/>
        </w:rPr>
        <w:t>la</w:t>
      </w:r>
      <w:r w:rsidRPr="004649C7">
        <w:rPr>
          <w:spacing w:val="-2"/>
          <w:sz w:val="22"/>
          <w:szCs w:val="22"/>
          <w:lang w:eastAsia="en-US"/>
        </w:rPr>
        <w:t xml:space="preserve"> </w:t>
      </w:r>
      <w:r w:rsidRPr="004649C7">
        <w:rPr>
          <w:sz w:val="22"/>
          <w:szCs w:val="22"/>
          <w:lang w:eastAsia="en-US"/>
        </w:rPr>
        <w:t>“</w:t>
      </w:r>
      <w:r w:rsidRPr="004649C7">
        <w:rPr>
          <w:b/>
          <w:sz w:val="22"/>
          <w:szCs w:val="22"/>
          <w:u w:val="single"/>
          <w:lang w:eastAsia="en-US"/>
        </w:rPr>
        <w:t>Sociedad</w:t>
      </w:r>
      <w:r w:rsidRPr="004649C7">
        <w:rPr>
          <w:sz w:val="22"/>
          <w:szCs w:val="22"/>
          <w:lang w:eastAsia="en-US"/>
        </w:rPr>
        <w:t>”,</w:t>
      </w:r>
      <w:r w:rsidRPr="004649C7">
        <w:rPr>
          <w:spacing w:val="-2"/>
          <w:sz w:val="22"/>
          <w:szCs w:val="22"/>
          <w:lang w:eastAsia="en-US"/>
        </w:rPr>
        <w:t xml:space="preserve"> </w:t>
      </w:r>
      <w:r w:rsidRPr="004649C7">
        <w:rPr>
          <w:sz w:val="22"/>
          <w:szCs w:val="22"/>
          <w:lang w:eastAsia="en-US"/>
        </w:rPr>
        <w:t>o</w:t>
      </w:r>
      <w:r w:rsidRPr="004649C7">
        <w:rPr>
          <w:spacing w:val="-2"/>
          <w:sz w:val="22"/>
          <w:szCs w:val="22"/>
          <w:lang w:eastAsia="en-US"/>
        </w:rPr>
        <w:t xml:space="preserve"> </w:t>
      </w:r>
      <w:r w:rsidRPr="004649C7">
        <w:rPr>
          <w:sz w:val="22"/>
          <w:szCs w:val="22"/>
          <w:lang w:eastAsia="en-US"/>
        </w:rPr>
        <w:t>“</w:t>
      </w:r>
      <w:r w:rsidR="00003493" w:rsidRPr="00397DB0">
        <w:rPr>
          <w:b/>
          <w:bCs/>
          <w:sz w:val="22"/>
          <w:szCs w:val="22"/>
          <w:u w:val="single"/>
          <w:lang w:eastAsia="en-US"/>
        </w:rPr>
        <w:t>3D</w:t>
      </w:r>
      <w:r w:rsidRPr="004649C7">
        <w:rPr>
          <w:sz w:val="22"/>
          <w:szCs w:val="22"/>
          <w:lang w:eastAsia="en-US"/>
        </w:rPr>
        <w:t>”</w:t>
      </w:r>
      <w:r w:rsidRPr="004649C7">
        <w:rPr>
          <w:spacing w:val="-2"/>
          <w:sz w:val="22"/>
          <w:szCs w:val="22"/>
          <w:lang w:eastAsia="en-US"/>
        </w:rPr>
        <w:t xml:space="preserve"> </w:t>
      </w:r>
      <w:r w:rsidRPr="004649C7">
        <w:rPr>
          <w:sz w:val="22"/>
          <w:szCs w:val="22"/>
          <w:lang w:eastAsia="en-US"/>
        </w:rPr>
        <w:t>en</w:t>
      </w:r>
      <w:r w:rsidRPr="004649C7">
        <w:rPr>
          <w:spacing w:val="-2"/>
          <w:sz w:val="22"/>
          <w:szCs w:val="22"/>
          <w:lang w:eastAsia="en-US"/>
        </w:rPr>
        <w:t xml:space="preserve"> </w:t>
      </w:r>
      <w:r w:rsidRPr="004649C7">
        <w:rPr>
          <w:sz w:val="22"/>
          <w:szCs w:val="22"/>
          <w:lang w:eastAsia="en-US"/>
        </w:rPr>
        <w:t>forma indistinta)</w:t>
      </w:r>
      <w:r w:rsidRPr="004649C7">
        <w:rPr>
          <w:sz w:val="22"/>
          <w:szCs w:val="22"/>
          <w:lang w:val="es-AR"/>
        </w:rPr>
        <w:t xml:space="preserve">, de acuerdo a los términos y condiciones establecidos en el Prospecto de fecha </w:t>
      </w:r>
      <w:r w:rsidR="00003493">
        <w:rPr>
          <w:sz w:val="22"/>
          <w:szCs w:val="22"/>
          <w:lang w:val="es-AR"/>
        </w:rPr>
        <w:t>7 de agosto</w:t>
      </w:r>
      <w:r w:rsidR="00B17537">
        <w:rPr>
          <w:sz w:val="22"/>
          <w:szCs w:val="22"/>
          <w:lang w:val="es-AR"/>
        </w:rPr>
        <w:t xml:space="preserve"> de 2025</w:t>
      </w:r>
      <w:r w:rsidRPr="004649C7">
        <w:rPr>
          <w:sz w:val="22"/>
          <w:szCs w:val="22"/>
          <w:lang w:val="es-AR"/>
        </w:rPr>
        <w:t xml:space="preserve"> de 202</w:t>
      </w:r>
      <w:r w:rsidR="00683BCF">
        <w:rPr>
          <w:sz w:val="22"/>
          <w:szCs w:val="22"/>
          <w:lang w:val="es-AR"/>
        </w:rPr>
        <w:t>5</w:t>
      </w:r>
      <w:r w:rsidRPr="004649C7">
        <w:rPr>
          <w:sz w:val="22"/>
          <w:szCs w:val="22"/>
          <w:lang w:val="es-AR"/>
        </w:rPr>
        <w:t xml:space="preserve"> (el “</w:t>
      </w:r>
      <w:r w:rsidRPr="004649C7">
        <w:rPr>
          <w:b/>
          <w:sz w:val="22"/>
          <w:szCs w:val="22"/>
          <w:u w:val="single"/>
          <w:lang w:val="es-AR"/>
        </w:rPr>
        <w:t>Prospecto</w:t>
      </w:r>
      <w:r w:rsidRPr="004649C7">
        <w:rPr>
          <w:sz w:val="22"/>
          <w:szCs w:val="22"/>
          <w:lang w:val="es-AR"/>
        </w:rPr>
        <w:t>”), que fuera publicado en el boletín diario de la Bolsa de Comercio de Buenos Aires (el “</w:t>
      </w:r>
      <w:r w:rsidRPr="004649C7">
        <w:rPr>
          <w:b/>
          <w:sz w:val="22"/>
          <w:szCs w:val="22"/>
          <w:u w:val="single"/>
          <w:lang w:val="es-AR"/>
        </w:rPr>
        <w:t>Boletín Diario de la BCBA</w:t>
      </w:r>
      <w:r w:rsidRPr="004649C7">
        <w:rPr>
          <w:sz w:val="22"/>
          <w:szCs w:val="22"/>
          <w:lang w:val="es-AR"/>
        </w:rPr>
        <w:t>”) de la misma fecha, y cuya versión completa fue publicada en la página web de la Comisión Nacional de Valores (</w:t>
      </w:r>
      <w:hyperlink w:history="1"/>
      <w:hyperlink r:id="rId8" w:history="1">
        <w:r w:rsidRPr="004649C7">
          <w:rPr>
            <w:color w:val="0000FF"/>
            <w:sz w:val="22"/>
            <w:szCs w:val="22"/>
            <w:u w:val="single"/>
            <w:lang w:val="es-AR"/>
          </w:rPr>
          <w:t>https://www.argentina.gob.ar/cnv</w:t>
        </w:r>
      </w:hyperlink>
      <w:r w:rsidRPr="004649C7">
        <w:rPr>
          <w:sz w:val="22"/>
          <w:szCs w:val="22"/>
          <w:lang w:val="es-AR"/>
        </w:rPr>
        <w:t>) (la “</w:t>
      </w:r>
      <w:r w:rsidRPr="004649C7">
        <w:rPr>
          <w:b/>
          <w:sz w:val="22"/>
          <w:szCs w:val="22"/>
          <w:u w:val="single"/>
          <w:lang w:val="es-AR"/>
        </w:rPr>
        <w:t>AIF</w:t>
      </w:r>
      <w:r w:rsidRPr="004649C7">
        <w:rPr>
          <w:sz w:val="22"/>
          <w:szCs w:val="22"/>
          <w:lang w:val="es-AR"/>
        </w:rPr>
        <w:t>” y la “</w:t>
      </w:r>
      <w:r w:rsidRPr="004649C7">
        <w:rPr>
          <w:b/>
          <w:sz w:val="22"/>
          <w:szCs w:val="22"/>
          <w:u w:val="single"/>
          <w:lang w:val="es-AR"/>
        </w:rPr>
        <w:t>Página Web de la CNV</w:t>
      </w:r>
      <w:r w:rsidRPr="004649C7">
        <w:rPr>
          <w:sz w:val="22"/>
          <w:szCs w:val="22"/>
          <w:lang w:val="es-AR"/>
        </w:rPr>
        <w:t xml:space="preserve">”, respectivamente), y en el sistema de información del </w:t>
      </w:r>
      <w:r w:rsidR="004B7CA6">
        <w:rPr>
          <w:sz w:val="22"/>
          <w:szCs w:val="22"/>
          <w:lang w:val="es-AR"/>
        </w:rPr>
        <w:t xml:space="preserve">A3 </w:t>
      </w:r>
      <w:r w:rsidRPr="004649C7">
        <w:rPr>
          <w:sz w:val="22"/>
          <w:szCs w:val="22"/>
          <w:lang w:val="es-AR"/>
        </w:rPr>
        <w:t>Mercado</w:t>
      </w:r>
      <w:r w:rsidR="004B7CA6">
        <w:rPr>
          <w:sz w:val="22"/>
          <w:szCs w:val="22"/>
          <w:lang w:val="es-AR"/>
        </w:rPr>
        <w:t>s</w:t>
      </w:r>
      <w:r w:rsidRPr="004649C7">
        <w:rPr>
          <w:sz w:val="22"/>
          <w:szCs w:val="22"/>
          <w:lang w:val="es-AR"/>
        </w:rPr>
        <w:t xml:space="preserve"> S.A. (el “</w:t>
      </w:r>
      <w:r w:rsidR="004B7CA6">
        <w:rPr>
          <w:b/>
          <w:sz w:val="22"/>
          <w:szCs w:val="22"/>
          <w:u w:val="single"/>
          <w:lang w:val="es-AR"/>
        </w:rPr>
        <w:t>A3</w:t>
      </w:r>
      <w:r w:rsidRPr="004649C7">
        <w:rPr>
          <w:sz w:val="22"/>
          <w:szCs w:val="22"/>
          <w:lang w:val="es-AR"/>
        </w:rPr>
        <w:t>” y el “</w:t>
      </w:r>
      <w:r w:rsidRPr="004649C7">
        <w:rPr>
          <w:b/>
          <w:sz w:val="22"/>
          <w:szCs w:val="22"/>
          <w:u w:val="single"/>
          <w:lang w:val="es-AR"/>
        </w:rPr>
        <w:t xml:space="preserve">Micrositio Web de </w:t>
      </w:r>
      <w:r w:rsidR="004B7CA6">
        <w:rPr>
          <w:b/>
          <w:sz w:val="22"/>
          <w:szCs w:val="22"/>
          <w:u w:val="single"/>
          <w:lang w:val="es-AR"/>
        </w:rPr>
        <w:t>A3</w:t>
      </w:r>
      <w:r w:rsidRPr="004649C7">
        <w:rPr>
          <w:sz w:val="22"/>
          <w:szCs w:val="22"/>
          <w:lang w:val="es-AR"/>
        </w:rPr>
        <w:t>”, respectivamente, y junto con el Boletín Diario de la BCBA, los “</w:t>
      </w:r>
      <w:r w:rsidRPr="004649C7">
        <w:rPr>
          <w:b/>
          <w:sz w:val="22"/>
          <w:szCs w:val="22"/>
          <w:u w:val="single"/>
          <w:lang w:val="es-AR"/>
        </w:rPr>
        <w:t>Boletines Diarios de los Mercados</w:t>
      </w:r>
      <w:r w:rsidRPr="004649C7">
        <w:rPr>
          <w:sz w:val="22"/>
          <w:szCs w:val="22"/>
          <w:lang w:val="es-AR"/>
        </w:rPr>
        <w:t xml:space="preserve">”), </w:t>
      </w:r>
      <w:r w:rsidR="00AB569A">
        <w:rPr>
          <w:sz w:val="22"/>
          <w:szCs w:val="22"/>
          <w:lang w:val="es-AR"/>
        </w:rPr>
        <w:t xml:space="preserve">en </w:t>
      </w:r>
      <w:r w:rsidRPr="004649C7">
        <w:rPr>
          <w:sz w:val="22"/>
          <w:szCs w:val="22"/>
          <w:lang w:val="es-AR"/>
        </w:rPr>
        <w:t xml:space="preserve">el aviso de suscripción de fecha </w:t>
      </w:r>
      <w:r w:rsidR="00AB569A">
        <w:rPr>
          <w:sz w:val="22"/>
          <w:szCs w:val="22"/>
          <w:lang w:val="es-AR"/>
        </w:rPr>
        <w:t>7 de agosto</w:t>
      </w:r>
      <w:r w:rsidRPr="004649C7">
        <w:rPr>
          <w:sz w:val="22"/>
          <w:szCs w:val="22"/>
          <w:lang w:val="es-AR"/>
        </w:rPr>
        <w:t xml:space="preserve"> de 202</w:t>
      </w:r>
      <w:r w:rsidR="00683BCF">
        <w:rPr>
          <w:sz w:val="22"/>
          <w:szCs w:val="22"/>
          <w:lang w:val="es-AR"/>
        </w:rPr>
        <w:t>5</w:t>
      </w:r>
      <w:r w:rsidRPr="004649C7">
        <w:rPr>
          <w:sz w:val="22"/>
          <w:szCs w:val="22"/>
          <w:lang w:val="es-AR"/>
        </w:rPr>
        <w:t xml:space="preserve">, publicado en esa misma fecha en la Página Web de la CNV y en </w:t>
      </w:r>
      <w:r>
        <w:rPr>
          <w:sz w:val="22"/>
          <w:szCs w:val="22"/>
          <w:lang w:val="es-AR"/>
        </w:rPr>
        <w:t>l</w:t>
      </w:r>
      <w:r w:rsidR="00B476A2">
        <w:rPr>
          <w:sz w:val="22"/>
          <w:szCs w:val="22"/>
          <w:lang w:val="es-AR"/>
        </w:rPr>
        <w:t xml:space="preserve">os Boletines Diarios de los Mercados </w:t>
      </w:r>
      <w:r w:rsidRPr="004649C7">
        <w:rPr>
          <w:sz w:val="22"/>
          <w:szCs w:val="22"/>
          <w:lang w:val="es-AR"/>
        </w:rPr>
        <w:t>(el “</w:t>
      </w:r>
      <w:r w:rsidRPr="004649C7">
        <w:rPr>
          <w:b/>
          <w:sz w:val="22"/>
          <w:szCs w:val="22"/>
          <w:u w:val="single"/>
          <w:lang w:val="es-AR"/>
        </w:rPr>
        <w:t>Aviso de Suscripción</w:t>
      </w:r>
      <w:r w:rsidR="00AB569A" w:rsidRPr="00397DB0">
        <w:rPr>
          <w:b/>
          <w:sz w:val="22"/>
          <w:szCs w:val="22"/>
          <w:lang w:val="es-AR"/>
        </w:rPr>
        <w:t xml:space="preserve">, </w:t>
      </w:r>
      <w:r w:rsidR="00AB569A" w:rsidRPr="00397DB0">
        <w:rPr>
          <w:bCs/>
          <w:sz w:val="22"/>
          <w:szCs w:val="22"/>
          <w:lang w:val="es-AR"/>
        </w:rPr>
        <w:t xml:space="preserve">y junto con el Prospecto, </w:t>
      </w:r>
      <w:r w:rsidRPr="004649C7">
        <w:rPr>
          <w:sz w:val="22"/>
          <w:szCs w:val="22"/>
          <w:lang w:val="es-AR"/>
        </w:rPr>
        <w:t>los “</w:t>
      </w:r>
      <w:r w:rsidRPr="004649C7">
        <w:rPr>
          <w:b/>
          <w:sz w:val="22"/>
          <w:szCs w:val="22"/>
          <w:u w:val="single"/>
          <w:lang w:val="es-AR"/>
        </w:rPr>
        <w:t>Documentos de la Emisión</w:t>
      </w:r>
      <w:r w:rsidRPr="004649C7">
        <w:rPr>
          <w:sz w:val="22"/>
          <w:szCs w:val="22"/>
          <w:lang w:val="es-AR"/>
        </w:rPr>
        <w:t xml:space="preserve">”), a los efectos de solicitar mediante la presente </w:t>
      </w:r>
      <w:r w:rsidRPr="004649C7">
        <w:rPr>
          <w:color w:val="000000"/>
          <w:sz w:val="22"/>
          <w:szCs w:val="22"/>
          <w:lang w:val="es-AR"/>
        </w:rPr>
        <w:t>Orden de Compra</w:t>
      </w:r>
      <w:r w:rsidRPr="004649C7">
        <w:rPr>
          <w:sz w:val="22"/>
          <w:szCs w:val="22"/>
          <w:lang w:val="es-AR"/>
        </w:rPr>
        <w:t xml:space="preserve"> (la “</w:t>
      </w:r>
      <w:r w:rsidRPr="004649C7">
        <w:rPr>
          <w:b/>
          <w:sz w:val="22"/>
          <w:szCs w:val="22"/>
          <w:u w:val="single"/>
          <w:lang w:val="es-AR"/>
        </w:rPr>
        <w:t>Orden de Compra</w:t>
      </w:r>
      <w:r w:rsidRPr="004649C7">
        <w:rPr>
          <w:sz w:val="22"/>
          <w:szCs w:val="22"/>
          <w:lang w:val="es-AR"/>
        </w:rPr>
        <w:t xml:space="preserve">”) la suscripción de las Obligaciones Negociables que se indican más abajo, en los términos y condiciones que se describen en los Documentos de la Emisión, que declaramos conocer. Todos los términos en mayúscula que no se encuentren definidos en la presente Orden de Compra tienen el significado que se les asigna en los Documentos de la Emisión. </w:t>
      </w:r>
    </w:p>
    <w:p w14:paraId="37C35736" w14:textId="77777777" w:rsidR="00D017DC" w:rsidRPr="004649C7" w:rsidRDefault="00D017DC" w:rsidP="001B5A0B">
      <w:pPr>
        <w:spacing w:after="120"/>
        <w:ind w:left="-567" w:firstLineChars="322" w:firstLine="708"/>
        <w:jc w:val="both"/>
        <w:rPr>
          <w:sz w:val="22"/>
          <w:szCs w:val="22"/>
          <w:lang w:val="es-AR"/>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172"/>
        <w:gridCol w:w="1139"/>
        <w:gridCol w:w="1462"/>
        <w:gridCol w:w="1309"/>
        <w:gridCol w:w="1310"/>
      </w:tblGrid>
      <w:tr w:rsidR="00283B4E" w:rsidRPr="00283B4E" w14:paraId="19FF4657" w14:textId="77777777" w:rsidTr="00C7099F">
        <w:trPr>
          <w:trHeight w:val="314"/>
          <w:jc w:val="center"/>
        </w:trPr>
        <w:tc>
          <w:tcPr>
            <w:tcW w:w="9222"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6D34B48C" w14:textId="3034DC3A" w:rsidR="00283B4E" w:rsidRPr="00283B4E" w:rsidRDefault="00283B4E" w:rsidP="005B5E98">
            <w:pPr>
              <w:jc w:val="center"/>
              <w:rPr>
                <w:rFonts w:ascii="Garamond" w:hAnsi="Garamond"/>
                <w:b/>
                <w:sz w:val="22"/>
                <w:szCs w:val="22"/>
                <w:lang w:val="es-AR"/>
              </w:rPr>
            </w:pPr>
            <w:r w:rsidRPr="00283B4E">
              <w:rPr>
                <w:rFonts w:ascii="Garamond" w:hAnsi="Garamond"/>
                <w:b/>
                <w:sz w:val="22"/>
                <w:szCs w:val="22"/>
                <w:lang w:val="es-AR"/>
              </w:rPr>
              <w:t xml:space="preserve">ON PYME CNV GARANTIZADA </w:t>
            </w:r>
            <w:r w:rsidR="00AB569A">
              <w:rPr>
                <w:rFonts w:ascii="Garamond" w:hAnsi="Garamond"/>
                <w:b/>
                <w:sz w:val="22"/>
                <w:szCs w:val="22"/>
                <w:lang w:val="es-AR"/>
              </w:rPr>
              <w:t>3D LATINOAMERICA</w:t>
            </w:r>
            <w:r w:rsidR="00A326F2">
              <w:rPr>
                <w:rFonts w:ascii="Garamond" w:hAnsi="Garamond"/>
                <w:b/>
                <w:sz w:val="22"/>
                <w:szCs w:val="22"/>
                <w:lang w:val="es-AR"/>
              </w:rPr>
              <w:t xml:space="preserve"> </w:t>
            </w:r>
            <w:r w:rsidRPr="00283B4E">
              <w:rPr>
                <w:rFonts w:ascii="Garamond" w:hAnsi="Garamond"/>
                <w:b/>
                <w:sz w:val="22"/>
                <w:szCs w:val="22"/>
                <w:lang w:val="es-AR"/>
              </w:rPr>
              <w:t xml:space="preserve">SERIE </w:t>
            </w:r>
            <w:r w:rsidR="00E22965">
              <w:rPr>
                <w:rFonts w:ascii="Garamond" w:hAnsi="Garamond"/>
                <w:b/>
                <w:sz w:val="22"/>
                <w:szCs w:val="22"/>
                <w:lang w:val="es-AR"/>
              </w:rPr>
              <w:t>I</w:t>
            </w:r>
          </w:p>
        </w:tc>
      </w:tr>
      <w:tr w:rsidR="00283B4E" w:rsidRPr="00283B4E" w14:paraId="5EB36063" w14:textId="77777777" w:rsidTr="00C7099F">
        <w:trPr>
          <w:trHeight w:val="314"/>
          <w:jc w:val="center"/>
        </w:trPr>
        <w:tc>
          <w:tcPr>
            <w:tcW w:w="922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3A253C" w14:textId="77777777" w:rsidR="00283B4E" w:rsidRPr="001015A7" w:rsidRDefault="00283B4E" w:rsidP="005B5E98">
            <w:pPr>
              <w:ind w:left="-76" w:right="-271"/>
              <w:jc w:val="both"/>
              <w:rPr>
                <w:rFonts w:ascii="Garamond" w:hAnsi="Garamond"/>
                <w:b/>
                <w:bCs/>
                <w:sz w:val="22"/>
                <w:szCs w:val="22"/>
                <w:lang w:val="it-IT"/>
              </w:rPr>
            </w:pPr>
            <w:r w:rsidRPr="001015A7">
              <w:rPr>
                <w:rFonts w:ascii="Garamond" w:hAnsi="Garamond"/>
                <w:b/>
                <w:sz w:val="22"/>
                <w:szCs w:val="22"/>
                <w:lang w:val="it-IT"/>
              </w:rPr>
              <w:t xml:space="preserve">Tramo Competitivo </w:t>
            </w:r>
          </w:p>
        </w:tc>
      </w:tr>
      <w:tr w:rsidR="006454F5" w:rsidRPr="0008294D" w14:paraId="5F28068D" w14:textId="77777777" w:rsidTr="00C7099F">
        <w:trPr>
          <w:trHeight w:val="314"/>
          <w:jc w:val="center"/>
        </w:trPr>
        <w:tc>
          <w:tcPr>
            <w:tcW w:w="2830" w:type="dxa"/>
            <w:vAlign w:val="center"/>
          </w:tcPr>
          <w:p w14:paraId="22859DE4" w14:textId="77777777" w:rsidR="00283B4E" w:rsidRPr="008145C4" w:rsidRDefault="00283B4E" w:rsidP="005B5E98">
            <w:pPr>
              <w:spacing w:line="240" w:lineRule="atLeast"/>
              <w:ind w:left="-142"/>
              <w:jc w:val="center"/>
              <w:rPr>
                <w:rFonts w:ascii="Garamond" w:hAnsi="Garamond"/>
                <w:b/>
                <w:bCs/>
                <w:sz w:val="22"/>
                <w:szCs w:val="22"/>
                <w:lang w:val="es-AR"/>
              </w:rPr>
            </w:pPr>
            <w:r w:rsidRPr="008145C4">
              <w:rPr>
                <w:rFonts w:ascii="Garamond" w:hAnsi="Garamond"/>
                <w:b/>
                <w:bCs/>
                <w:sz w:val="22"/>
                <w:szCs w:val="22"/>
                <w:lang w:val="es-AR"/>
              </w:rPr>
              <w:t>Monto Solicitado</w:t>
            </w:r>
            <w:r w:rsidRPr="008145C4">
              <w:rPr>
                <w:rFonts w:ascii="Garamond" w:hAnsi="Garamond"/>
                <w:b/>
                <w:bCs/>
                <w:sz w:val="22"/>
                <w:szCs w:val="22"/>
                <w:vertAlign w:val="superscript"/>
                <w:lang w:val="es-AR"/>
              </w:rPr>
              <w:t xml:space="preserve"> (1)</w:t>
            </w:r>
          </w:p>
        </w:tc>
        <w:tc>
          <w:tcPr>
            <w:tcW w:w="1172" w:type="dxa"/>
          </w:tcPr>
          <w:p w14:paraId="7B070B31" w14:textId="68B0B54F" w:rsidR="00283B4E" w:rsidRPr="008145C4" w:rsidRDefault="00283B4E" w:rsidP="005B5E98">
            <w:pPr>
              <w:spacing w:line="240" w:lineRule="atLeast"/>
              <w:ind w:left="-142"/>
              <w:jc w:val="center"/>
              <w:rPr>
                <w:rFonts w:ascii="Garamond" w:hAnsi="Garamond"/>
                <w:b/>
                <w:bCs/>
                <w:sz w:val="22"/>
                <w:szCs w:val="22"/>
                <w:lang w:val="es-AR"/>
              </w:rPr>
            </w:pPr>
            <w:r>
              <w:rPr>
                <w:rFonts w:ascii="Garamond" w:hAnsi="Garamond"/>
                <w:b/>
                <w:bCs/>
                <w:sz w:val="22"/>
                <w:szCs w:val="22"/>
                <w:lang w:val="es-AR"/>
              </w:rPr>
              <w:t>Diferencial de Tasa Solicitado</w:t>
            </w:r>
            <w:r w:rsidRPr="008145C4">
              <w:rPr>
                <w:rFonts w:ascii="Garamond" w:hAnsi="Garamond"/>
                <w:b/>
                <w:bCs/>
                <w:sz w:val="22"/>
                <w:szCs w:val="22"/>
                <w:lang w:val="es-AR"/>
              </w:rPr>
              <w:t xml:space="preserve"> </w:t>
            </w:r>
            <w:r w:rsidRPr="008145C4">
              <w:rPr>
                <w:rFonts w:ascii="Garamond" w:hAnsi="Garamond"/>
                <w:b/>
                <w:bCs/>
                <w:sz w:val="22"/>
                <w:szCs w:val="22"/>
                <w:vertAlign w:val="superscript"/>
                <w:lang w:val="es-AR"/>
              </w:rPr>
              <w:t>(2)</w:t>
            </w:r>
          </w:p>
        </w:tc>
        <w:tc>
          <w:tcPr>
            <w:tcW w:w="1139" w:type="dxa"/>
            <w:vAlign w:val="center"/>
          </w:tcPr>
          <w:p w14:paraId="58454F0F" w14:textId="77777777" w:rsidR="00283B4E" w:rsidRPr="008145C4" w:rsidRDefault="00283B4E" w:rsidP="005B5E98">
            <w:pPr>
              <w:spacing w:line="240" w:lineRule="atLeast"/>
              <w:ind w:left="-142"/>
              <w:jc w:val="center"/>
              <w:rPr>
                <w:rFonts w:ascii="Garamond" w:hAnsi="Garamond"/>
                <w:b/>
                <w:bCs/>
                <w:sz w:val="22"/>
                <w:szCs w:val="22"/>
                <w:lang w:val="es-AR"/>
              </w:rPr>
            </w:pPr>
            <w:r w:rsidRPr="008145C4">
              <w:rPr>
                <w:rFonts w:ascii="Garamond" w:hAnsi="Garamond"/>
                <w:b/>
                <w:bCs/>
                <w:sz w:val="22"/>
                <w:szCs w:val="22"/>
                <w:lang w:val="es-AR"/>
              </w:rPr>
              <w:t>Cuenta</w:t>
            </w:r>
          </w:p>
          <w:p w14:paraId="75F6E0D1" w14:textId="77777777" w:rsidR="00283B4E" w:rsidRPr="008145C4" w:rsidRDefault="00283B4E" w:rsidP="005B5E98">
            <w:pPr>
              <w:spacing w:line="240" w:lineRule="atLeast"/>
              <w:ind w:left="-142"/>
              <w:jc w:val="center"/>
              <w:rPr>
                <w:rFonts w:ascii="Garamond" w:hAnsi="Garamond"/>
                <w:b/>
                <w:bCs/>
                <w:sz w:val="22"/>
                <w:szCs w:val="22"/>
                <w:lang w:val="es-AR"/>
              </w:rPr>
            </w:pPr>
            <w:r w:rsidRPr="008145C4">
              <w:rPr>
                <w:rFonts w:ascii="Garamond" w:hAnsi="Garamond"/>
                <w:b/>
                <w:bCs/>
                <w:sz w:val="22"/>
                <w:szCs w:val="22"/>
                <w:lang w:val="es-AR"/>
              </w:rPr>
              <w:t>Comitente</w:t>
            </w:r>
          </w:p>
        </w:tc>
        <w:tc>
          <w:tcPr>
            <w:tcW w:w="1462" w:type="dxa"/>
            <w:vAlign w:val="center"/>
          </w:tcPr>
          <w:p w14:paraId="1B1BA11F" w14:textId="77777777" w:rsidR="00283B4E" w:rsidRPr="008145C4" w:rsidRDefault="00283B4E" w:rsidP="005B5E98">
            <w:pPr>
              <w:spacing w:line="240" w:lineRule="atLeast"/>
              <w:jc w:val="center"/>
              <w:rPr>
                <w:rFonts w:ascii="Garamond" w:hAnsi="Garamond"/>
                <w:b/>
                <w:bCs/>
                <w:sz w:val="22"/>
                <w:szCs w:val="22"/>
                <w:lang w:val="es-AR"/>
              </w:rPr>
            </w:pPr>
            <w:r w:rsidRPr="008145C4">
              <w:rPr>
                <w:rFonts w:ascii="Garamond" w:hAnsi="Garamond"/>
                <w:b/>
                <w:bCs/>
                <w:sz w:val="22"/>
                <w:szCs w:val="22"/>
                <w:lang w:val="es-AR"/>
              </w:rPr>
              <w:t>N° Depositante</w:t>
            </w:r>
          </w:p>
        </w:tc>
        <w:tc>
          <w:tcPr>
            <w:tcW w:w="1309" w:type="dxa"/>
            <w:vAlign w:val="center"/>
          </w:tcPr>
          <w:p w14:paraId="0E00EB05" w14:textId="77777777" w:rsidR="00283B4E" w:rsidRPr="008145C4" w:rsidRDefault="00283B4E" w:rsidP="005B5E98">
            <w:pPr>
              <w:spacing w:line="240" w:lineRule="atLeast"/>
              <w:ind w:left="-142"/>
              <w:jc w:val="center"/>
              <w:rPr>
                <w:rFonts w:ascii="Garamond" w:hAnsi="Garamond"/>
                <w:b/>
                <w:bCs/>
                <w:sz w:val="22"/>
                <w:szCs w:val="22"/>
                <w:lang w:val="es-AR"/>
              </w:rPr>
            </w:pPr>
            <w:r w:rsidRPr="008145C4">
              <w:rPr>
                <w:rFonts w:ascii="Garamond" w:hAnsi="Garamond"/>
                <w:b/>
                <w:bCs/>
                <w:sz w:val="22"/>
                <w:szCs w:val="22"/>
                <w:lang w:val="es-AR"/>
              </w:rPr>
              <w:t>Nombre del Depositante</w:t>
            </w:r>
          </w:p>
        </w:tc>
        <w:tc>
          <w:tcPr>
            <w:tcW w:w="1310" w:type="dxa"/>
            <w:vAlign w:val="center"/>
          </w:tcPr>
          <w:p w14:paraId="5444E09A" w14:textId="77777777" w:rsidR="00283B4E" w:rsidRPr="008145C4" w:rsidRDefault="00283B4E" w:rsidP="005B5E98">
            <w:pPr>
              <w:spacing w:line="240" w:lineRule="atLeast"/>
              <w:ind w:left="3"/>
              <w:jc w:val="center"/>
              <w:rPr>
                <w:rFonts w:ascii="Garamond" w:hAnsi="Garamond"/>
                <w:b/>
                <w:bCs/>
                <w:sz w:val="22"/>
                <w:szCs w:val="22"/>
                <w:lang w:val="es-AR"/>
              </w:rPr>
            </w:pPr>
            <w:r w:rsidRPr="008145C4">
              <w:rPr>
                <w:rFonts w:ascii="Garamond" w:hAnsi="Garamond"/>
                <w:b/>
                <w:bCs/>
                <w:sz w:val="22"/>
                <w:szCs w:val="22"/>
                <w:lang w:val="es-AR"/>
              </w:rPr>
              <w:t xml:space="preserve">Porcentaje Máximo </w:t>
            </w:r>
            <w:r w:rsidRPr="008145C4">
              <w:rPr>
                <w:rFonts w:ascii="Garamond" w:hAnsi="Garamond"/>
                <w:b/>
                <w:bCs/>
                <w:sz w:val="22"/>
                <w:szCs w:val="22"/>
                <w:vertAlign w:val="superscript"/>
                <w:lang w:val="es-AR"/>
              </w:rPr>
              <w:t>(3)</w:t>
            </w:r>
          </w:p>
        </w:tc>
      </w:tr>
      <w:tr w:rsidR="006454F5" w:rsidRPr="0008294D" w14:paraId="14D19C6B" w14:textId="77777777" w:rsidTr="00C7099F">
        <w:trPr>
          <w:trHeight w:val="336"/>
          <w:jc w:val="center"/>
        </w:trPr>
        <w:tc>
          <w:tcPr>
            <w:tcW w:w="2830" w:type="dxa"/>
            <w:vAlign w:val="center"/>
          </w:tcPr>
          <w:p w14:paraId="729D09E0" w14:textId="77777777" w:rsidR="00283B4E" w:rsidRPr="008145C4" w:rsidRDefault="00283B4E" w:rsidP="005B5E98">
            <w:pPr>
              <w:spacing w:line="240" w:lineRule="atLeast"/>
              <w:ind w:left="66" w:right="-17"/>
              <w:rPr>
                <w:rFonts w:ascii="Garamond" w:hAnsi="Garamond"/>
                <w:sz w:val="22"/>
                <w:szCs w:val="22"/>
                <w:lang w:val="es-AR"/>
              </w:rPr>
            </w:pPr>
            <w:r w:rsidRPr="008145C4">
              <w:rPr>
                <w:rFonts w:ascii="Garamond" w:hAnsi="Garamond"/>
                <w:sz w:val="22"/>
                <w:szCs w:val="22"/>
                <w:lang w:val="es-AR"/>
              </w:rPr>
              <w:t xml:space="preserve">$ </w:t>
            </w: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1172" w:type="dxa"/>
            <w:vAlign w:val="center"/>
          </w:tcPr>
          <w:p w14:paraId="0D90C5CC" w14:textId="77777777" w:rsidR="00283B4E" w:rsidRPr="008145C4" w:rsidRDefault="00283B4E" w:rsidP="005B5E98">
            <w:pPr>
              <w:spacing w:line="240" w:lineRule="atLeast"/>
              <w:ind w:right="-17"/>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1139" w:type="dxa"/>
            <w:vAlign w:val="center"/>
          </w:tcPr>
          <w:p w14:paraId="0600DA7C" w14:textId="77777777" w:rsidR="00283B4E" w:rsidRPr="008145C4" w:rsidRDefault="00283B4E" w:rsidP="005B5E98">
            <w:pPr>
              <w:spacing w:line="240" w:lineRule="atLeast"/>
              <w:ind w:left="-142" w:right="-17"/>
              <w:jc w:val="center"/>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1462" w:type="dxa"/>
            <w:vAlign w:val="center"/>
          </w:tcPr>
          <w:p w14:paraId="69CA8370" w14:textId="77777777" w:rsidR="00283B4E" w:rsidRPr="008145C4" w:rsidRDefault="00283B4E" w:rsidP="005B5E98">
            <w:pPr>
              <w:spacing w:line="240" w:lineRule="atLeast"/>
              <w:ind w:left="-142" w:right="-17"/>
              <w:jc w:val="center"/>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1309" w:type="dxa"/>
            <w:vAlign w:val="center"/>
          </w:tcPr>
          <w:p w14:paraId="192148F7" w14:textId="77777777" w:rsidR="00283B4E" w:rsidRPr="008145C4" w:rsidRDefault="00283B4E" w:rsidP="005B5E98">
            <w:pPr>
              <w:spacing w:line="240" w:lineRule="atLeast"/>
              <w:ind w:left="-142" w:right="-17"/>
              <w:jc w:val="center"/>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1310" w:type="dxa"/>
            <w:vAlign w:val="center"/>
          </w:tcPr>
          <w:p w14:paraId="2CF8E713" w14:textId="77777777" w:rsidR="00283B4E" w:rsidRPr="008145C4" w:rsidRDefault="00283B4E" w:rsidP="005B5E98">
            <w:pPr>
              <w:spacing w:line="240" w:lineRule="atLeast"/>
              <w:ind w:left="-142" w:right="-17"/>
              <w:jc w:val="center"/>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r w:rsidRPr="008145C4">
              <w:rPr>
                <w:rFonts w:ascii="Garamond" w:hAnsi="Garamond"/>
                <w:sz w:val="22"/>
                <w:szCs w:val="22"/>
                <w:lang w:val="es-AR"/>
              </w:rPr>
              <w:t>%</w:t>
            </w:r>
          </w:p>
        </w:tc>
      </w:tr>
      <w:tr w:rsidR="006454F5" w:rsidRPr="0008294D" w14:paraId="1B30022C" w14:textId="77777777" w:rsidTr="00C7099F">
        <w:trPr>
          <w:trHeight w:val="283"/>
          <w:jc w:val="center"/>
        </w:trPr>
        <w:tc>
          <w:tcPr>
            <w:tcW w:w="9222" w:type="dxa"/>
            <w:gridSpan w:val="6"/>
            <w:shd w:val="clear" w:color="auto" w:fill="E7E6E6" w:themeFill="background2"/>
            <w:vAlign w:val="center"/>
          </w:tcPr>
          <w:p w14:paraId="2E725D02" w14:textId="77777777" w:rsidR="00283B4E" w:rsidRPr="008145C4" w:rsidRDefault="00283B4E" w:rsidP="005B5E98">
            <w:pPr>
              <w:spacing w:line="240" w:lineRule="atLeast"/>
              <w:ind w:left="-142" w:right="-17"/>
              <w:rPr>
                <w:rFonts w:ascii="Garamond" w:hAnsi="Garamond"/>
                <w:sz w:val="22"/>
                <w:szCs w:val="22"/>
                <w:lang w:val="es-AR"/>
              </w:rPr>
            </w:pPr>
            <w:r w:rsidRPr="008145C4">
              <w:rPr>
                <w:rFonts w:ascii="Garamond" w:hAnsi="Garamond"/>
                <w:b/>
                <w:bCs/>
                <w:sz w:val="22"/>
                <w:szCs w:val="22"/>
                <w:lang w:val="es-AR"/>
              </w:rPr>
              <w:t xml:space="preserve">Tramo No Competitivo </w:t>
            </w:r>
            <w:r w:rsidRPr="008145C4">
              <w:rPr>
                <w:rFonts w:ascii="Garamond" w:hAnsi="Garamond"/>
                <w:b/>
                <w:bCs/>
                <w:sz w:val="22"/>
                <w:szCs w:val="22"/>
                <w:vertAlign w:val="superscript"/>
              </w:rPr>
              <w:t>(4)</w:t>
            </w:r>
          </w:p>
        </w:tc>
      </w:tr>
      <w:tr w:rsidR="003112F9" w:rsidRPr="0008294D" w14:paraId="4CB7C6DF" w14:textId="77777777" w:rsidTr="00C7099F">
        <w:trPr>
          <w:trHeight w:val="283"/>
          <w:jc w:val="center"/>
        </w:trPr>
        <w:tc>
          <w:tcPr>
            <w:tcW w:w="2830" w:type="dxa"/>
            <w:vAlign w:val="center"/>
          </w:tcPr>
          <w:p w14:paraId="2A6931B7" w14:textId="77777777" w:rsidR="003112F9" w:rsidRPr="008145C4" w:rsidRDefault="003112F9" w:rsidP="005B5E98">
            <w:pPr>
              <w:spacing w:line="240" w:lineRule="atLeast"/>
              <w:ind w:left="66" w:right="-17"/>
              <w:rPr>
                <w:rFonts w:ascii="Garamond" w:hAnsi="Garamond"/>
                <w:sz w:val="22"/>
                <w:szCs w:val="22"/>
                <w:lang w:val="es-AR"/>
              </w:rPr>
            </w:pPr>
            <w:r w:rsidRPr="008145C4">
              <w:rPr>
                <w:rFonts w:ascii="Garamond" w:hAnsi="Garamond"/>
                <w:b/>
                <w:bCs/>
                <w:sz w:val="22"/>
                <w:szCs w:val="22"/>
                <w:lang w:val="es-AR"/>
              </w:rPr>
              <w:t>Monto Solicitado</w:t>
            </w:r>
            <w:r w:rsidRPr="008145C4">
              <w:rPr>
                <w:rFonts w:ascii="Garamond" w:hAnsi="Garamond"/>
                <w:b/>
                <w:bCs/>
                <w:sz w:val="22"/>
                <w:szCs w:val="22"/>
                <w:vertAlign w:val="superscript"/>
                <w:lang w:val="es-AR"/>
              </w:rPr>
              <w:t xml:space="preserve"> (</w:t>
            </w:r>
            <w:r>
              <w:rPr>
                <w:rFonts w:ascii="Garamond" w:hAnsi="Garamond"/>
                <w:b/>
                <w:bCs/>
                <w:sz w:val="22"/>
                <w:szCs w:val="22"/>
                <w:vertAlign w:val="superscript"/>
                <w:lang w:val="es-AR"/>
              </w:rPr>
              <w:t>5</w:t>
            </w:r>
            <w:r w:rsidRPr="008145C4">
              <w:rPr>
                <w:rFonts w:ascii="Garamond" w:hAnsi="Garamond"/>
                <w:b/>
                <w:bCs/>
                <w:sz w:val="22"/>
                <w:szCs w:val="22"/>
                <w:vertAlign w:val="superscript"/>
                <w:lang w:val="es-AR"/>
              </w:rPr>
              <w:t>)</w:t>
            </w:r>
          </w:p>
        </w:tc>
        <w:tc>
          <w:tcPr>
            <w:tcW w:w="1172" w:type="dxa"/>
            <w:vAlign w:val="center"/>
          </w:tcPr>
          <w:p w14:paraId="20A4F640" w14:textId="72206E84" w:rsidR="003112F9" w:rsidRPr="00EE0A91" w:rsidRDefault="003112F9" w:rsidP="00850697">
            <w:pPr>
              <w:spacing w:line="240" w:lineRule="atLeast"/>
              <w:ind w:right="-17"/>
              <w:rPr>
                <w:rFonts w:ascii="Garamond" w:hAnsi="Garamond"/>
                <w:b/>
                <w:bCs/>
                <w:sz w:val="22"/>
                <w:szCs w:val="22"/>
                <w:vertAlign w:val="superscript"/>
                <w:lang w:val="es-AR"/>
              </w:rPr>
            </w:pPr>
          </w:p>
        </w:tc>
        <w:tc>
          <w:tcPr>
            <w:tcW w:w="1139" w:type="dxa"/>
            <w:vAlign w:val="center"/>
          </w:tcPr>
          <w:p w14:paraId="7387B4A3" w14:textId="77777777" w:rsidR="003112F9" w:rsidRPr="008145C4" w:rsidRDefault="003112F9" w:rsidP="005B5E98">
            <w:pPr>
              <w:spacing w:line="240" w:lineRule="atLeast"/>
              <w:ind w:left="-142"/>
              <w:jc w:val="center"/>
              <w:rPr>
                <w:rFonts w:ascii="Garamond" w:hAnsi="Garamond"/>
                <w:b/>
                <w:bCs/>
                <w:sz w:val="22"/>
                <w:szCs w:val="22"/>
                <w:lang w:val="es-AR"/>
              </w:rPr>
            </w:pPr>
            <w:r w:rsidRPr="008145C4">
              <w:rPr>
                <w:rFonts w:ascii="Garamond" w:hAnsi="Garamond"/>
                <w:b/>
                <w:bCs/>
                <w:sz w:val="22"/>
                <w:szCs w:val="22"/>
                <w:lang w:val="es-AR"/>
              </w:rPr>
              <w:t>Cuenta</w:t>
            </w:r>
          </w:p>
          <w:p w14:paraId="3829C4AE" w14:textId="77777777" w:rsidR="003112F9" w:rsidRPr="008145C4" w:rsidRDefault="003112F9" w:rsidP="005B5E98">
            <w:pPr>
              <w:spacing w:line="240" w:lineRule="atLeast"/>
              <w:ind w:left="-142" w:right="-17"/>
              <w:jc w:val="center"/>
              <w:rPr>
                <w:rFonts w:ascii="Garamond" w:hAnsi="Garamond"/>
                <w:sz w:val="22"/>
                <w:szCs w:val="22"/>
                <w:lang w:val="es-AR"/>
              </w:rPr>
            </w:pPr>
            <w:r w:rsidRPr="008145C4">
              <w:rPr>
                <w:rFonts w:ascii="Garamond" w:hAnsi="Garamond"/>
                <w:b/>
                <w:bCs/>
                <w:sz w:val="22"/>
                <w:szCs w:val="22"/>
                <w:lang w:val="es-AR"/>
              </w:rPr>
              <w:t>Comitente</w:t>
            </w:r>
          </w:p>
        </w:tc>
        <w:tc>
          <w:tcPr>
            <w:tcW w:w="1462" w:type="dxa"/>
            <w:vAlign w:val="center"/>
          </w:tcPr>
          <w:p w14:paraId="356B1D9B" w14:textId="77777777" w:rsidR="003112F9" w:rsidRPr="008145C4" w:rsidRDefault="003112F9" w:rsidP="005B5E98">
            <w:pPr>
              <w:spacing w:line="240" w:lineRule="atLeast"/>
              <w:ind w:left="-142" w:right="-17"/>
              <w:jc w:val="center"/>
              <w:rPr>
                <w:rFonts w:ascii="Garamond" w:hAnsi="Garamond"/>
                <w:sz w:val="22"/>
                <w:szCs w:val="22"/>
                <w:lang w:val="es-AR"/>
              </w:rPr>
            </w:pPr>
            <w:r w:rsidRPr="008145C4">
              <w:rPr>
                <w:rFonts w:ascii="Garamond" w:hAnsi="Garamond"/>
                <w:b/>
                <w:bCs/>
                <w:sz w:val="22"/>
                <w:szCs w:val="22"/>
                <w:lang w:val="es-AR"/>
              </w:rPr>
              <w:t>N° Depositante</w:t>
            </w:r>
          </w:p>
        </w:tc>
        <w:tc>
          <w:tcPr>
            <w:tcW w:w="2619" w:type="dxa"/>
            <w:gridSpan w:val="2"/>
            <w:vAlign w:val="center"/>
          </w:tcPr>
          <w:p w14:paraId="7764121B" w14:textId="2EB44A0B" w:rsidR="003112F9" w:rsidRPr="008145C4" w:rsidRDefault="003112F9" w:rsidP="003112F9">
            <w:pPr>
              <w:spacing w:line="240" w:lineRule="atLeast"/>
              <w:ind w:left="-142" w:right="-17"/>
              <w:jc w:val="center"/>
              <w:rPr>
                <w:rFonts w:ascii="Garamond" w:hAnsi="Garamond"/>
                <w:sz w:val="22"/>
                <w:szCs w:val="22"/>
                <w:lang w:val="es-AR"/>
              </w:rPr>
            </w:pPr>
            <w:r w:rsidRPr="008145C4">
              <w:rPr>
                <w:rFonts w:ascii="Garamond" w:hAnsi="Garamond"/>
                <w:b/>
                <w:bCs/>
                <w:sz w:val="22"/>
                <w:szCs w:val="22"/>
                <w:lang w:val="es-AR"/>
              </w:rPr>
              <w:t>Nombre del Depositante</w:t>
            </w:r>
          </w:p>
        </w:tc>
      </w:tr>
      <w:tr w:rsidR="003112F9" w:rsidRPr="0008294D" w14:paraId="62F6E803" w14:textId="77777777" w:rsidTr="00C7099F">
        <w:trPr>
          <w:trHeight w:val="283"/>
          <w:jc w:val="center"/>
        </w:trPr>
        <w:tc>
          <w:tcPr>
            <w:tcW w:w="2830" w:type="dxa"/>
            <w:vAlign w:val="center"/>
          </w:tcPr>
          <w:p w14:paraId="064FD27E" w14:textId="77777777" w:rsidR="003112F9" w:rsidRPr="008145C4" w:rsidRDefault="003112F9" w:rsidP="005B5E98">
            <w:pPr>
              <w:spacing w:line="240" w:lineRule="atLeast"/>
              <w:ind w:left="66" w:right="-17"/>
              <w:rPr>
                <w:rFonts w:ascii="Garamond" w:hAnsi="Garamond"/>
                <w:sz w:val="22"/>
                <w:szCs w:val="22"/>
                <w:lang w:val="es-AR"/>
              </w:rPr>
            </w:pPr>
            <w:r w:rsidRPr="008145C4">
              <w:rPr>
                <w:rFonts w:ascii="Garamond" w:hAnsi="Garamond"/>
                <w:sz w:val="22"/>
                <w:szCs w:val="22"/>
                <w:lang w:val="es-AR"/>
              </w:rPr>
              <w:lastRenderedPageBreak/>
              <w:t xml:space="preserve">$ </w:t>
            </w: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1172" w:type="dxa"/>
            <w:vAlign w:val="center"/>
          </w:tcPr>
          <w:p w14:paraId="3F4AD416" w14:textId="6FC2B405" w:rsidR="003112F9" w:rsidRPr="008145C4" w:rsidRDefault="003112F9" w:rsidP="005B5E98">
            <w:pPr>
              <w:spacing w:line="240" w:lineRule="atLeast"/>
              <w:ind w:right="-17"/>
              <w:rPr>
                <w:rFonts w:ascii="Garamond" w:hAnsi="Garamond"/>
                <w:sz w:val="22"/>
                <w:szCs w:val="22"/>
                <w:lang w:val="es-AR"/>
              </w:rPr>
            </w:pPr>
          </w:p>
        </w:tc>
        <w:tc>
          <w:tcPr>
            <w:tcW w:w="1139" w:type="dxa"/>
            <w:vAlign w:val="center"/>
          </w:tcPr>
          <w:p w14:paraId="34B71F31" w14:textId="77777777" w:rsidR="003112F9" w:rsidRPr="008145C4" w:rsidRDefault="003112F9" w:rsidP="005B5E98">
            <w:pPr>
              <w:spacing w:line="240" w:lineRule="atLeast"/>
              <w:ind w:left="-142" w:right="-17"/>
              <w:jc w:val="center"/>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1462" w:type="dxa"/>
            <w:vAlign w:val="center"/>
          </w:tcPr>
          <w:p w14:paraId="7034746A" w14:textId="77777777" w:rsidR="003112F9" w:rsidRPr="008145C4" w:rsidRDefault="003112F9" w:rsidP="005B5E98">
            <w:pPr>
              <w:spacing w:line="240" w:lineRule="atLeast"/>
              <w:ind w:left="-142" w:right="-17"/>
              <w:jc w:val="center"/>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c>
          <w:tcPr>
            <w:tcW w:w="2619" w:type="dxa"/>
            <w:gridSpan w:val="2"/>
            <w:vAlign w:val="center"/>
          </w:tcPr>
          <w:p w14:paraId="18A9F80C" w14:textId="093C9E6C" w:rsidR="003112F9" w:rsidRPr="008145C4" w:rsidRDefault="003112F9" w:rsidP="003112F9">
            <w:pPr>
              <w:spacing w:line="240" w:lineRule="atLeast"/>
              <w:ind w:left="-142" w:right="-17"/>
              <w:jc w:val="center"/>
              <w:rPr>
                <w:rFonts w:ascii="Garamond" w:hAnsi="Garamond"/>
                <w:sz w:val="22"/>
                <w:szCs w:val="22"/>
                <w:lang w:val="es-AR"/>
              </w:rPr>
            </w:pPr>
            <w:r w:rsidRPr="008145C4">
              <w:rPr>
                <w:rFonts w:ascii="Garamond" w:eastAsia="Arial Unicode MS" w:hAnsi="Garamond"/>
                <w:sz w:val="22"/>
                <w:szCs w:val="22"/>
                <w:highlight w:val="yellow"/>
              </w:rPr>
              <w:t>[•</w:t>
            </w:r>
            <w:r w:rsidRPr="008145C4">
              <w:rPr>
                <w:rFonts w:ascii="Garamond" w:hAnsi="Garamond"/>
                <w:sz w:val="22"/>
                <w:szCs w:val="22"/>
                <w:highlight w:val="yellow"/>
                <w:lang w:val="es-AR"/>
              </w:rPr>
              <w:t>]</w:t>
            </w:r>
          </w:p>
        </w:tc>
      </w:tr>
    </w:tbl>
    <w:p w14:paraId="01F81590" w14:textId="72A52262" w:rsidR="00E24FDB" w:rsidRDefault="00E24FDB" w:rsidP="00B40B70">
      <w:pPr>
        <w:spacing w:after="120"/>
        <w:ind w:right="-17"/>
        <w:jc w:val="both"/>
        <w:rPr>
          <w:i/>
          <w:sz w:val="22"/>
          <w:szCs w:val="22"/>
          <w:lang w:val="es-AR"/>
        </w:rPr>
      </w:pPr>
    </w:p>
    <w:p w14:paraId="2AB2104C" w14:textId="00766121" w:rsidR="001B5A0B" w:rsidRPr="004649C7" w:rsidRDefault="00E24FDB" w:rsidP="00B40B70">
      <w:pPr>
        <w:spacing w:after="120"/>
        <w:ind w:right="-17"/>
        <w:jc w:val="both"/>
        <w:rPr>
          <w:i/>
          <w:sz w:val="22"/>
          <w:szCs w:val="22"/>
          <w:lang w:val="es-AR"/>
        </w:rPr>
      </w:pPr>
      <w:r>
        <w:rPr>
          <w:i/>
          <w:sz w:val="22"/>
          <w:szCs w:val="22"/>
          <w:lang w:val="es-AR"/>
        </w:rPr>
        <w:t xml:space="preserve">(1) </w:t>
      </w:r>
      <w:r w:rsidR="001B5A0B" w:rsidRPr="004649C7">
        <w:rPr>
          <w:i/>
          <w:sz w:val="22"/>
          <w:szCs w:val="22"/>
          <w:lang w:val="es-AR"/>
        </w:rPr>
        <w:t>Monto Mínimo de Suscripción: Será en Pesos por importes equivalentes a $</w:t>
      </w:r>
      <w:r w:rsidR="00611383">
        <w:rPr>
          <w:i/>
          <w:sz w:val="22"/>
          <w:szCs w:val="22"/>
          <w:lang w:val="es-AR"/>
        </w:rPr>
        <w:t>1</w:t>
      </w:r>
      <w:r w:rsidR="00515733">
        <w:rPr>
          <w:i/>
          <w:sz w:val="22"/>
          <w:szCs w:val="22"/>
          <w:lang w:val="es-AR"/>
        </w:rPr>
        <w:t>0</w:t>
      </w:r>
      <w:r w:rsidR="001B5A0B" w:rsidRPr="004649C7">
        <w:rPr>
          <w:i/>
          <w:sz w:val="22"/>
          <w:szCs w:val="22"/>
          <w:lang w:val="es-AR"/>
        </w:rPr>
        <w:t xml:space="preserve">.000 (Pesos </w:t>
      </w:r>
      <w:r w:rsidR="00515733">
        <w:rPr>
          <w:i/>
          <w:sz w:val="22"/>
          <w:szCs w:val="22"/>
          <w:lang w:val="es-AR"/>
        </w:rPr>
        <w:t xml:space="preserve">diez </w:t>
      </w:r>
      <w:r w:rsidR="001B5A0B" w:rsidRPr="004649C7">
        <w:rPr>
          <w:i/>
          <w:sz w:val="22"/>
          <w:szCs w:val="22"/>
          <w:lang w:val="es-AR"/>
        </w:rPr>
        <w:t xml:space="preserve">mil) </w:t>
      </w:r>
      <w:r w:rsidR="001B5A0B">
        <w:rPr>
          <w:i/>
          <w:sz w:val="22"/>
          <w:szCs w:val="22"/>
          <w:lang w:val="es-AR"/>
        </w:rPr>
        <w:t>y</w:t>
      </w:r>
      <w:r w:rsidR="001B5A0B" w:rsidRPr="004649C7">
        <w:rPr>
          <w:i/>
          <w:sz w:val="22"/>
          <w:szCs w:val="22"/>
          <w:lang w:val="es-AR"/>
        </w:rPr>
        <w:t xml:space="preserve"> montos superiores que sean múltiplos de $1 (Pesos uno). </w:t>
      </w:r>
    </w:p>
    <w:p w14:paraId="4E6DB3CC" w14:textId="6B8398C8" w:rsidR="00283B4E" w:rsidRPr="00857DEC" w:rsidRDefault="001B5A0B" w:rsidP="001015A7">
      <w:pPr>
        <w:spacing w:after="120"/>
        <w:ind w:left="-142" w:right="-17" w:firstLine="142"/>
        <w:jc w:val="both"/>
        <w:rPr>
          <w:i/>
          <w:sz w:val="22"/>
          <w:szCs w:val="22"/>
          <w:lang w:val="es-AR" w:eastAsia="es-AR"/>
        </w:rPr>
      </w:pPr>
      <w:r w:rsidRPr="00857DEC">
        <w:rPr>
          <w:i/>
          <w:sz w:val="22"/>
          <w:szCs w:val="22"/>
          <w:lang w:val="es-AR"/>
        </w:rPr>
        <w:t xml:space="preserve">(2) Indicar Diferencial de Tasa Solicitado </w:t>
      </w:r>
      <w:r w:rsidRPr="00857DEC">
        <w:rPr>
          <w:i/>
          <w:sz w:val="22"/>
          <w:szCs w:val="22"/>
          <w:lang w:val="es-AR" w:eastAsia="es-AR"/>
        </w:rPr>
        <w:t>expresado como porcentaje anual truncado a dos decimales</w:t>
      </w:r>
      <w:r w:rsidR="00283B4E" w:rsidRPr="00857DEC">
        <w:rPr>
          <w:i/>
          <w:sz w:val="22"/>
          <w:szCs w:val="22"/>
          <w:lang w:val="es-AR" w:eastAsia="es-AR"/>
        </w:rPr>
        <w:t xml:space="preserve"> y el mismo podrá ser inferior a 0</w:t>
      </w:r>
      <w:r w:rsidR="008B41E0" w:rsidRPr="00857DEC">
        <w:rPr>
          <w:i/>
          <w:sz w:val="22"/>
          <w:szCs w:val="22"/>
          <w:lang w:val="es-AR" w:eastAsia="es-AR"/>
        </w:rPr>
        <w:t>.</w:t>
      </w:r>
    </w:p>
    <w:p w14:paraId="312C92B0" w14:textId="3DD3B734" w:rsidR="00283B4E" w:rsidRPr="00857DEC" w:rsidRDefault="00283B4E" w:rsidP="00283B4E">
      <w:pPr>
        <w:spacing w:line="240" w:lineRule="atLeast"/>
        <w:ind w:left="-142" w:right="-17"/>
        <w:jc w:val="both"/>
        <w:rPr>
          <w:i/>
          <w:sz w:val="22"/>
          <w:szCs w:val="22"/>
        </w:rPr>
      </w:pPr>
      <w:r w:rsidRPr="00857DEC">
        <w:rPr>
          <w:i/>
          <w:sz w:val="22"/>
          <w:szCs w:val="22"/>
          <w:lang w:val="es-AR"/>
        </w:rPr>
        <w:t xml:space="preserve">(3) </w:t>
      </w:r>
      <w:r w:rsidRPr="00857DEC">
        <w:rPr>
          <w:i/>
          <w:sz w:val="22"/>
          <w:szCs w:val="22"/>
        </w:rPr>
        <w:t xml:space="preserve">En caso de que así lo deseen, los oferentes podrán limitar el monto solicitado a un porcentaje máximo del valor nominal total a emitirse de las ON PYME CNV Garantizadas </w:t>
      </w:r>
      <w:r w:rsidR="00AB569A">
        <w:rPr>
          <w:i/>
          <w:sz w:val="22"/>
          <w:szCs w:val="22"/>
        </w:rPr>
        <w:t xml:space="preserve">3D </w:t>
      </w:r>
      <w:proofErr w:type="spellStart"/>
      <w:r w:rsidR="00AB569A">
        <w:rPr>
          <w:i/>
          <w:sz w:val="22"/>
          <w:szCs w:val="22"/>
        </w:rPr>
        <w:t>Latinoamerica</w:t>
      </w:r>
      <w:proofErr w:type="spellEnd"/>
      <w:r w:rsidR="00850697" w:rsidRPr="00857DEC">
        <w:rPr>
          <w:i/>
          <w:sz w:val="22"/>
          <w:szCs w:val="22"/>
        </w:rPr>
        <w:t xml:space="preserve"> </w:t>
      </w:r>
      <w:r w:rsidRPr="00857DEC">
        <w:rPr>
          <w:i/>
          <w:sz w:val="22"/>
          <w:szCs w:val="22"/>
        </w:rPr>
        <w:t xml:space="preserve">Serie </w:t>
      </w:r>
      <w:r w:rsidR="00E22965" w:rsidRPr="00857DEC">
        <w:rPr>
          <w:i/>
          <w:sz w:val="22"/>
          <w:szCs w:val="22"/>
        </w:rPr>
        <w:t>I</w:t>
      </w:r>
      <w:r w:rsidRPr="00857DEC">
        <w:rPr>
          <w:i/>
          <w:sz w:val="22"/>
          <w:szCs w:val="22"/>
        </w:rPr>
        <w:t>.</w:t>
      </w:r>
    </w:p>
    <w:p w14:paraId="16043D1C" w14:textId="53DA4452" w:rsidR="00283B4E" w:rsidRPr="001015A7" w:rsidRDefault="00283B4E" w:rsidP="00B40B70">
      <w:pPr>
        <w:spacing w:before="240" w:line="240" w:lineRule="atLeast"/>
        <w:ind w:left="-142" w:right="-17"/>
        <w:rPr>
          <w:i/>
          <w:sz w:val="22"/>
          <w:szCs w:val="22"/>
        </w:rPr>
      </w:pPr>
      <w:r w:rsidRPr="00857DEC">
        <w:rPr>
          <w:i/>
          <w:sz w:val="22"/>
          <w:szCs w:val="22"/>
        </w:rPr>
        <w:t>(4) Podrán participar del Tramo No Competitivo los potenciales inversores que no indiquen Diferencial de Tasa Solicitado.</w:t>
      </w:r>
    </w:p>
    <w:p w14:paraId="3BA9267A" w14:textId="7E280B45" w:rsidR="00283B4E" w:rsidRPr="00D017DC" w:rsidRDefault="00283B4E" w:rsidP="00B40B70">
      <w:pPr>
        <w:spacing w:before="240" w:after="240" w:line="240" w:lineRule="atLeast"/>
        <w:ind w:left="-142" w:right="-17"/>
        <w:jc w:val="both"/>
        <w:rPr>
          <w:rFonts w:ascii="Garamond" w:hAnsi="Garamond"/>
          <w:i/>
          <w:sz w:val="22"/>
          <w:szCs w:val="22"/>
        </w:rPr>
      </w:pPr>
      <w:r w:rsidRPr="001015A7">
        <w:rPr>
          <w:i/>
          <w:sz w:val="22"/>
          <w:szCs w:val="22"/>
        </w:rPr>
        <w:t>(5) El monto no podrá ser superior a $ 1</w:t>
      </w:r>
      <w:r w:rsidR="00AB569A">
        <w:rPr>
          <w:i/>
          <w:sz w:val="22"/>
          <w:szCs w:val="22"/>
        </w:rPr>
        <w:t>.0</w:t>
      </w:r>
      <w:r w:rsidRPr="001015A7">
        <w:rPr>
          <w:i/>
          <w:sz w:val="22"/>
          <w:szCs w:val="22"/>
        </w:rPr>
        <w:t xml:space="preserve">00.000 (Pesos </w:t>
      </w:r>
      <w:r w:rsidR="00AB569A">
        <w:rPr>
          <w:i/>
          <w:sz w:val="22"/>
          <w:szCs w:val="22"/>
        </w:rPr>
        <w:t>un millón</w:t>
      </w:r>
      <w:r w:rsidRPr="00D017DC">
        <w:rPr>
          <w:rFonts w:ascii="Garamond" w:hAnsi="Garamond"/>
          <w:i/>
          <w:sz w:val="22"/>
          <w:szCs w:val="22"/>
        </w:rPr>
        <w:t>).</w:t>
      </w:r>
    </w:p>
    <w:p w14:paraId="6C770E18" w14:textId="5559B952" w:rsidR="00283B4E" w:rsidRPr="004649C7" w:rsidRDefault="00283B4E" w:rsidP="00283B4E">
      <w:pPr>
        <w:spacing w:after="120"/>
        <w:ind w:left="-567" w:right="-17" w:firstLine="567"/>
        <w:jc w:val="both"/>
        <w:rPr>
          <w:i/>
          <w:sz w:val="22"/>
          <w:szCs w:val="22"/>
          <w:lang w:val="es-AR"/>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237"/>
      </w:tblGrid>
      <w:tr w:rsidR="001B5A0B" w:rsidRPr="004649C7" w14:paraId="7F8D5450" w14:textId="77777777" w:rsidTr="002F1D3B">
        <w:trPr>
          <w:jc w:val="center"/>
        </w:trPr>
        <w:tc>
          <w:tcPr>
            <w:tcW w:w="9497"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4691D13" w14:textId="77777777" w:rsidR="001B5A0B" w:rsidRPr="004649C7" w:rsidRDefault="001B5A0B" w:rsidP="002F1D3B">
            <w:pPr>
              <w:spacing w:after="120"/>
              <w:ind w:left="-567" w:right="-271" w:firstLine="567"/>
              <w:jc w:val="center"/>
              <w:rPr>
                <w:b/>
                <w:smallCaps/>
                <w:sz w:val="22"/>
                <w:szCs w:val="22"/>
                <w:lang w:val="es-AR"/>
              </w:rPr>
            </w:pPr>
            <w:r w:rsidRPr="004649C7">
              <w:rPr>
                <w:sz w:val="22"/>
                <w:szCs w:val="22"/>
                <w:lang w:val="es-AR"/>
              </w:rPr>
              <w:br w:type="page"/>
            </w:r>
            <w:r w:rsidRPr="004649C7">
              <w:rPr>
                <w:b/>
                <w:smallCaps/>
                <w:sz w:val="22"/>
                <w:szCs w:val="22"/>
                <w:lang w:val="es-AR"/>
              </w:rPr>
              <w:t>datos del oferente</w:t>
            </w:r>
          </w:p>
        </w:tc>
      </w:tr>
      <w:tr w:rsidR="001B5A0B" w:rsidRPr="004649C7" w14:paraId="7845E2A7"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6BE88F59" w14:textId="77777777" w:rsidR="001B5A0B" w:rsidRPr="004649C7" w:rsidRDefault="001B5A0B" w:rsidP="002F1D3B">
            <w:pPr>
              <w:spacing w:after="120"/>
              <w:ind w:right="-271"/>
              <w:rPr>
                <w:smallCaps/>
                <w:sz w:val="22"/>
                <w:szCs w:val="22"/>
                <w:lang w:val="es-AR"/>
              </w:rPr>
            </w:pPr>
            <w:r w:rsidRPr="004649C7">
              <w:rPr>
                <w:smallCaps/>
                <w:sz w:val="22"/>
                <w:szCs w:val="22"/>
                <w:lang w:val="es-AR"/>
              </w:rPr>
              <w:t xml:space="preserve">Apellido y nombre o razón social: </w:t>
            </w:r>
          </w:p>
        </w:tc>
        <w:tc>
          <w:tcPr>
            <w:tcW w:w="6237" w:type="dxa"/>
            <w:tcBorders>
              <w:top w:val="single" w:sz="4" w:space="0" w:color="auto"/>
              <w:left w:val="single" w:sz="4" w:space="0" w:color="auto"/>
              <w:bottom w:val="single" w:sz="4" w:space="0" w:color="auto"/>
              <w:right w:val="single" w:sz="4" w:space="0" w:color="auto"/>
            </w:tcBorders>
          </w:tcPr>
          <w:p w14:paraId="53D04723" w14:textId="77777777" w:rsidR="001B5A0B" w:rsidRPr="004649C7" w:rsidRDefault="001B5A0B" w:rsidP="002F1D3B">
            <w:pPr>
              <w:spacing w:after="120"/>
              <w:ind w:left="-567" w:right="-271" w:firstLine="567"/>
              <w:jc w:val="both"/>
              <w:rPr>
                <w:sz w:val="22"/>
                <w:szCs w:val="22"/>
                <w:lang w:val="es-AR"/>
              </w:rPr>
            </w:pPr>
          </w:p>
        </w:tc>
      </w:tr>
      <w:tr w:rsidR="001B5A0B" w:rsidRPr="004649C7" w14:paraId="57CD9AAE"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2C1511D0" w14:textId="77777777" w:rsidR="001B5A0B" w:rsidRPr="004649C7" w:rsidRDefault="001B5A0B" w:rsidP="002F1D3B">
            <w:pPr>
              <w:spacing w:after="120"/>
              <w:ind w:left="-567" w:right="-271" w:firstLine="567"/>
              <w:rPr>
                <w:smallCaps/>
                <w:sz w:val="22"/>
                <w:szCs w:val="22"/>
                <w:lang w:val="es-AR"/>
              </w:rPr>
            </w:pPr>
            <w:r w:rsidRPr="004649C7">
              <w:rPr>
                <w:smallCaps/>
                <w:sz w:val="22"/>
                <w:szCs w:val="22"/>
                <w:lang w:val="es-AR"/>
              </w:rPr>
              <w:t xml:space="preserve">Le – </w:t>
            </w:r>
            <w:proofErr w:type="spellStart"/>
            <w:r w:rsidRPr="004649C7">
              <w:rPr>
                <w:smallCaps/>
                <w:sz w:val="22"/>
                <w:szCs w:val="22"/>
                <w:lang w:val="es-AR"/>
              </w:rPr>
              <w:t>dni</w:t>
            </w:r>
            <w:proofErr w:type="spellEnd"/>
            <w:r w:rsidRPr="004649C7">
              <w:rPr>
                <w:smallCaps/>
                <w:sz w:val="22"/>
                <w:szCs w:val="22"/>
                <w:lang w:val="es-AR"/>
              </w:rPr>
              <w:t xml:space="preserve"> – </w:t>
            </w:r>
            <w:proofErr w:type="spellStart"/>
            <w:r w:rsidRPr="004649C7">
              <w:rPr>
                <w:smallCaps/>
                <w:sz w:val="22"/>
                <w:szCs w:val="22"/>
                <w:lang w:val="es-AR"/>
              </w:rPr>
              <w:t>ci</w:t>
            </w:r>
            <w:proofErr w:type="spellEnd"/>
            <w:r w:rsidRPr="004649C7">
              <w:rPr>
                <w:smallCaps/>
                <w:sz w:val="22"/>
                <w:szCs w:val="22"/>
                <w:lang w:val="es-AR"/>
              </w:rPr>
              <w:t>:</w:t>
            </w:r>
          </w:p>
        </w:tc>
        <w:tc>
          <w:tcPr>
            <w:tcW w:w="6237" w:type="dxa"/>
            <w:tcBorders>
              <w:top w:val="single" w:sz="4" w:space="0" w:color="auto"/>
              <w:left w:val="single" w:sz="4" w:space="0" w:color="auto"/>
              <w:bottom w:val="single" w:sz="4" w:space="0" w:color="auto"/>
              <w:right w:val="single" w:sz="4" w:space="0" w:color="auto"/>
            </w:tcBorders>
          </w:tcPr>
          <w:p w14:paraId="3F5916D4" w14:textId="77777777" w:rsidR="001B5A0B" w:rsidRPr="004649C7" w:rsidRDefault="001B5A0B" w:rsidP="002F1D3B">
            <w:pPr>
              <w:spacing w:after="120"/>
              <w:ind w:left="-567" w:right="-271" w:firstLine="567"/>
              <w:jc w:val="both"/>
              <w:rPr>
                <w:sz w:val="22"/>
                <w:szCs w:val="22"/>
                <w:lang w:val="es-AR"/>
              </w:rPr>
            </w:pPr>
          </w:p>
        </w:tc>
      </w:tr>
      <w:tr w:rsidR="001B5A0B" w:rsidRPr="004649C7" w14:paraId="5C984DFF"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05B3F2FC" w14:textId="77777777" w:rsidR="001B5A0B" w:rsidRPr="004649C7" w:rsidRDefault="001B5A0B" w:rsidP="002F1D3B">
            <w:pPr>
              <w:spacing w:after="120"/>
              <w:ind w:left="-567" w:right="-271" w:firstLine="567"/>
              <w:rPr>
                <w:smallCaps/>
                <w:sz w:val="22"/>
                <w:szCs w:val="22"/>
                <w:lang w:val="es-AR"/>
              </w:rPr>
            </w:pPr>
            <w:proofErr w:type="spellStart"/>
            <w:r w:rsidRPr="004649C7">
              <w:rPr>
                <w:smallCaps/>
                <w:sz w:val="22"/>
                <w:szCs w:val="22"/>
                <w:lang w:val="es-AR"/>
              </w:rPr>
              <w:t>Cuit</w:t>
            </w:r>
            <w:proofErr w:type="spellEnd"/>
            <w:r w:rsidRPr="004649C7">
              <w:rPr>
                <w:smallCaps/>
                <w:sz w:val="22"/>
                <w:szCs w:val="22"/>
                <w:lang w:val="es-AR"/>
              </w:rPr>
              <w:t xml:space="preserve"> / </w:t>
            </w:r>
            <w:proofErr w:type="spellStart"/>
            <w:r w:rsidRPr="004649C7">
              <w:rPr>
                <w:smallCaps/>
                <w:sz w:val="22"/>
                <w:szCs w:val="22"/>
                <w:lang w:val="es-AR"/>
              </w:rPr>
              <w:t>cuil</w:t>
            </w:r>
            <w:proofErr w:type="spellEnd"/>
            <w:r w:rsidRPr="004649C7">
              <w:rPr>
                <w:smallCaps/>
                <w:sz w:val="22"/>
                <w:szCs w:val="22"/>
                <w:lang w:val="es-AR"/>
              </w:rPr>
              <w:t xml:space="preserve"> / </w:t>
            </w:r>
            <w:proofErr w:type="spellStart"/>
            <w:r w:rsidRPr="004649C7">
              <w:rPr>
                <w:smallCaps/>
                <w:sz w:val="22"/>
                <w:szCs w:val="22"/>
                <w:lang w:val="es-AR"/>
              </w:rPr>
              <w:t>cdi</w:t>
            </w:r>
            <w:proofErr w:type="spellEnd"/>
            <w:r w:rsidRPr="004649C7">
              <w:rPr>
                <w:smallCaps/>
                <w:sz w:val="22"/>
                <w:szCs w:val="22"/>
                <w:lang w:val="es-AR"/>
              </w:rPr>
              <w:t>:</w:t>
            </w:r>
          </w:p>
        </w:tc>
        <w:tc>
          <w:tcPr>
            <w:tcW w:w="6237" w:type="dxa"/>
            <w:tcBorders>
              <w:top w:val="single" w:sz="4" w:space="0" w:color="auto"/>
              <w:left w:val="single" w:sz="4" w:space="0" w:color="auto"/>
              <w:bottom w:val="single" w:sz="4" w:space="0" w:color="auto"/>
              <w:right w:val="single" w:sz="4" w:space="0" w:color="auto"/>
            </w:tcBorders>
          </w:tcPr>
          <w:p w14:paraId="637D64FE" w14:textId="77777777" w:rsidR="001B5A0B" w:rsidRPr="004649C7" w:rsidRDefault="001B5A0B" w:rsidP="002F1D3B">
            <w:pPr>
              <w:spacing w:after="120"/>
              <w:ind w:left="-567" w:right="-271" w:firstLine="567"/>
              <w:jc w:val="both"/>
              <w:rPr>
                <w:sz w:val="22"/>
                <w:szCs w:val="22"/>
                <w:lang w:val="es-AR"/>
              </w:rPr>
            </w:pPr>
          </w:p>
        </w:tc>
      </w:tr>
      <w:tr w:rsidR="001B5A0B" w:rsidRPr="004649C7" w14:paraId="5EC68527"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59F514CA" w14:textId="77777777" w:rsidR="001B5A0B" w:rsidRPr="004649C7" w:rsidRDefault="001B5A0B" w:rsidP="002F1D3B">
            <w:pPr>
              <w:spacing w:after="120"/>
              <w:ind w:left="-567" w:right="-271" w:firstLine="567"/>
              <w:rPr>
                <w:smallCaps/>
                <w:sz w:val="22"/>
                <w:szCs w:val="22"/>
                <w:lang w:val="es-AR"/>
              </w:rPr>
            </w:pPr>
            <w:r w:rsidRPr="004649C7">
              <w:rPr>
                <w:smallCaps/>
                <w:sz w:val="22"/>
                <w:szCs w:val="22"/>
                <w:lang w:val="es-AR"/>
              </w:rPr>
              <w:t>Domicilio:</w:t>
            </w:r>
          </w:p>
        </w:tc>
        <w:tc>
          <w:tcPr>
            <w:tcW w:w="6237" w:type="dxa"/>
            <w:tcBorders>
              <w:top w:val="single" w:sz="4" w:space="0" w:color="auto"/>
              <w:left w:val="single" w:sz="4" w:space="0" w:color="auto"/>
              <w:bottom w:val="single" w:sz="4" w:space="0" w:color="auto"/>
              <w:right w:val="single" w:sz="4" w:space="0" w:color="auto"/>
            </w:tcBorders>
          </w:tcPr>
          <w:p w14:paraId="2A2B6B77" w14:textId="77777777" w:rsidR="001B5A0B" w:rsidRPr="004649C7" w:rsidRDefault="001B5A0B" w:rsidP="002F1D3B">
            <w:pPr>
              <w:spacing w:after="120"/>
              <w:ind w:left="-567" w:right="-271" w:firstLine="567"/>
              <w:jc w:val="both"/>
              <w:rPr>
                <w:sz w:val="22"/>
                <w:szCs w:val="22"/>
                <w:lang w:val="es-AR"/>
              </w:rPr>
            </w:pPr>
          </w:p>
        </w:tc>
      </w:tr>
      <w:tr w:rsidR="001B5A0B" w:rsidRPr="004649C7" w14:paraId="3768C9D3"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00EF099B" w14:textId="77777777" w:rsidR="001B5A0B" w:rsidRPr="004649C7" w:rsidRDefault="001B5A0B" w:rsidP="002F1D3B">
            <w:pPr>
              <w:spacing w:after="120"/>
              <w:ind w:left="-567" w:right="-271" w:firstLine="567"/>
              <w:rPr>
                <w:smallCaps/>
                <w:sz w:val="22"/>
                <w:szCs w:val="22"/>
                <w:lang w:val="es-AR"/>
              </w:rPr>
            </w:pPr>
            <w:r w:rsidRPr="004649C7">
              <w:rPr>
                <w:smallCaps/>
                <w:sz w:val="22"/>
                <w:szCs w:val="22"/>
                <w:lang w:val="es-AR"/>
              </w:rPr>
              <w:t xml:space="preserve">Cuenta bancaria: </w:t>
            </w:r>
          </w:p>
        </w:tc>
        <w:tc>
          <w:tcPr>
            <w:tcW w:w="6237" w:type="dxa"/>
            <w:tcBorders>
              <w:top w:val="single" w:sz="4" w:space="0" w:color="auto"/>
              <w:left w:val="single" w:sz="4" w:space="0" w:color="auto"/>
              <w:bottom w:val="single" w:sz="4" w:space="0" w:color="auto"/>
              <w:right w:val="single" w:sz="4" w:space="0" w:color="auto"/>
            </w:tcBorders>
          </w:tcPr>
          <w:p w14:paraId="6D502A04" w14:textId="77777777" w:rsidR="001B5A0B" w:rsidRPr="004649C7" w:rsidRDefault="001B5A0B" w:rsidP="002F1D3B">
            <w:pPr>
              <w:spacing w:after="120"/>
              <w:ind w:left="-567" w:right="-271" w:firstLine="567"/>
              <w:jc w:val="both"/>
              <w:rPr>
                <w:sz w:val="22"/>
                <w:szCs w:val="22"/>
                <w:lang w:val="es-AR"/>
              </w:rPr>
            </w:pPr>
          </w:p>
        </w:tc>
      </w:tr>
      <w:tr w:rsidR="001B5A0B" w:rsidRPr="004649C7" w14:paraId="75FC52AC"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4A137819" w14:textId="77777777" w:rsidR="001B5A0B" w:rsidRPr="004649C7" w:rsidRDefault="001B5A0B" w:rsidP="002F1D3B">
            <w:pPr>
              <w:spacing w:after="120"/>
              <w:ind w:left="-567" w:right="-271" w:firstLine="567"/>
              <w:rPr>
                <w:smallCaps/>
                <w:sz w:val="22"/>
                <w:szCs w:val="22"/>
                <w:lang w:val="es-AR"/>
              </w:rPr>
            </w:pPr>
            <w:proofErr w:type="spellStart"/>
            <w:r w:rsidRPr="004649C7">
              <w:rPr>
                <w:smallCaps/>
                <w:sz w:val="22"/>
                <w:szCs w:val="22"/>
                <w:lang w:val="es-AR"/>
              </w:rPr>
              <w:t>Cbu</w:t>
            </w:r>
            <w:proofErr w:type="spellEnd"/>
            <w:r w:rsidRPr="004649C7">
              <w:rPr>
                <w:smallCaps/>
                <w:sz w:val="22"/>
                <w:szCs w:val="22"/>
                <w:lang w:val="es-AR"/>
              </w:rPr>
              <w:t>:</w:t>
            </w:r>
          </w:p>
        </w:tc>
        <w:tc>
          <w:tcPr>
            <w:tcW w:w="6237" w:type="dxa"/>
            <w:tcBorders>
              <w:top w:val="single" w:sz="4" w:space="0" w:color="auto"/>
              <w:left w:val="single" w:sz="4" w:space="0" w:color="auto"/>
              <w:bottom w:val="single" w:sz="4" w:space="0" w:color="auto"/>
              <w:right w:val="single" w:sz="4" w:space="0" w:color="auto"/>
            </w:tcBorders>
          </w:tcPr>
          <w:p w14:paraId="67F325C1" w14:textId="77777777" w:rsidR="001B5A0B" w:rsidRPr="004649C7" w:rsidRDefault="001B5A0B" w:rsidP="002F1D3B">
            <w:pPr>
              <w:spacing w:after="120"/>
              <w:ind w:left="-567" w:right="-271" w:firstLine="567"/>
              <w:jc w:val="both"/>
              <w:rPr>
                <w:sz w:val="22"/>
                <w:szCs w:val="22"/>
                <w:lang w:val="es-AR"/>
              </w:rPr>
            </w:pPr>
          </w:p>
        </w:tc>
      </w:tr>
      <w:tr w:rsidR="001B5A0B" w:rsidRPr="004649C7" w14:paraId="2E70D977"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6BFC9076" w14:textId="77777777" w:rsidR="001B5A0B" w:rsidRPr="004649C7" w:rsidRDefault="001B5A0B" w:rsidP="002F1D3B">
            <w:pPr>
              <w:spacing w:after="120"/>
              <w:ind w:left="-567" w:right="-271" w:firstLine="567"/>
              <w:rPr>
                <w:smallCaps/>
                <w:sz w:val="22"/>
                <w:szCs w:val="22"/>
                <w:lang w:val="es-AR"/>
              </w:rPr>
            </w:pPr>
            <w:r w:rsidRPr="004649C7">
              <w:rPr>
                <w:smallCaps/>
                <w:sz w:val="22"/>
                <w:szCs w:val="22"/>
                <w:lang w:val="es-AR"/>
              </w:rPr>
              <w:t xml:space="preserve">Cuenta Comitente: </w:t>
            </w:r>
          </w:p>
        </w:tc>
        <w:tc>
          <w:tcPr>
            <w:tcW w:w="6237" w:type="dxa"/>
            <w:tcBorders>
              <w:top w:val="single" w:sz="4" w:space="0" w:color="auto"/>
              <w:left w:val="single" w:sz="4" w:space="0" w:color="auto"/>
              <w:bottom w:val="single" w:sz="4" w:space="0" w:color="auto"/>
              <w:right w:val="single" w:sz="4" w:space="0" w:color="auto"/>
            </w:tcBorders>
          </w:tcPr>
          <w:p w14:paraId="533EE1FF" w14:textId="77777777" w:rsidR="001B5A0B" w:rsidRPr="004649C7" w:rsidRDefault="001B5A0B" w:rsidP="002F1D3B">
            <w:pPr>
              <w:spacing w:after="120"/>
              <w:ind w:left="-567" w:right="-271" w:firstLine="567"/>
              <w:jc w:val="both"/>
              <w:rPr>
                <w:sz w:val="22"/>
                <w:szCs w:val="22"/>
                <w:lang w:val="es-AR"/>
              </w:rPr>
            </w:pPr>
          </w:p>
        </w:tc>
      </w:tr>
      <w:tr w:rsidR="001B5A0B" w:rsidRPr="004649C7" w14:paraId="0228AF6E"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3A537E4D" w14:textId="77777777" w:rsidR="001B5A0B" w:rsidRPr="004649C7" w:rsidRDefault="001B5A0B" w:rsidP="002F1D3B">
            <w:pPr>
              <w:spacing w:after="120"/>
              <w:ind w:left="29" w:right="-271"/>
              <w:rPr>
                <w:smallCaps/>
                <w:sz w:val="22"/>
                <w:szCs w:val="22"/>
                <w:lang w:val="es-AR"/>
              </w:rPr>
            </w:pPr>
            <w:r w:rsidRPr="004649C7">
              <w:rPr>
                <w:smallCaps/>
                <w:sz w:val="22"/>
                <w:szCs w:val="22"/>
                <w:lang w:val="es-AR"/>
              </w:rPr>
              <w:t>Nombre beneficiario cuenta títulos:</w:t>
            </w:r>
          </w:p>
        </w:tc>
        <w:tc>
          <w:tcPr>
            <w:tcW w:w="6237" w:type="dxa"/>
            <w:tcBorders>
              <w:top w:val="single" w:sz="4" w:space="0" w:color="auto"/>
              <w:left w:val="single" w:sz="4" w:space="0" w:color="auto"/>
              <w:bottom w:val="single" w:sz="4" w:space="0" w:color="auto"/>
              <w:right w:val="single" w:sz="4" w:space="0" w:color="auto"/>
            </w:tcBorders>
          </w:tcPr>
          <w:p w14:paraId="3021222C" w14:textId="77777777" w:rsidR="001B5A0B" w:rsidRPr="004649C7" w:rsidRDefault="001B5A0B" w:rsidP="002F1D3B">
            <w:pPr>
              <w:spacing w:after="120"/>
              <w:ind w:left="-567" w:right="-271" w:firstLine="567"/>
              <w:jc w:val="both"/>
              <w:rPr>
                <w:sz w:val="22"/>
                <w:szCs w:val="22"/>
                <w:lang w:val="es-AR"/>
              </w:rPr>
            </w:pPr>
          </w:p>
        </w:tc>
      </w:tr>
      <w:tr w:rsidR="001B5A0B" w:rsidRPr="004649C7" w14:paraId="412468F3"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6DDEC056" w14:textId="77777777" w:rsidR="001B5A0B" w:rsidRPr="004649C7" w:rsidRDefault="001B5A0B" w:rsidP="002F1D3B">
            <w:pPr>
              <w:spacing w:after="120"/>
              <w:ind w:left="-567" w:right="-271" w:firstLine="567"/>
              <w:rPr>
                <w:smallCaps/>
                <w:sz w:val="22"/>
                <w:szCs w:val="22"/>
                <w:lang w:val="es-AR"/>
              </w:rPr>
            </w:pPr>
            <w:r w:rsidRPr="004649C7">
              <w:rPr>
                <w:smallCaps/>
                <w:sz w:val="22"/>
                <w:szCs w:val="22"/>
                <w:lang w:val="es-AR"/>
              </w:rPr>
              <w:t>Depositante:</w:t>
            </w:r>
          </w:p>
        </w:tc>
        <w:tc>
          <w:tcPr>
            <w:tcW w:w="6237" w:type="dxa"/>
            <w:tcBorders>
              <w:top w:val="single" w:sz="4" w:space="0" w:color="auto"/>
              <w:left w:val="single" w:sz="4" w:space="0" w:color="auto"/>
              <w:bottom w:val="single" w:sz="4" w:space="0" w:color="auto"/>
              <w:right w:val="single" w:sz="4" w:space="0" w:color="auto"/>
            </w:tcBorders>
          </w:tcPr>
          <w:p w14:paraId="158597FC" w14:textId="77777777" w:rsidR="001B5A0B" w:rsidRPr="004649C7" w:rsidRDefault="001B5A0B" w:rsidP="002F1D3B">
            <w:pPr>
              <w:spacing w:after="120"/>
              <w:ind w:left="-567" w:right="-271" w:firstLine="567"/>
              <w:jc w:val="both"/>
              <w:rPr>
                <w:sz w:val="22"/>
                <w:szCs w:val="22"/>
                <w:lang w:val="es-AR"/>
              </w:rPr>
            </w:pPr>
          </w:p>
        </w:tc>
      </w:tr>
      <w:tr w:rsidR="001B5A0B" w:rsidRPr="004649C7" w14:paraId="502163C3" w14:textId="77777777" w:rsidTr="002F1D3B">
        <w:trPr>
          <w:jc w:val="center"/>
        </w:trPr>
        <w:tc>
          <w:tcPr>
            <w:tcW w:w="3260" w:type="dxa"/>
            <w:tcBorders>
              <w:top w:val="single" w:sz="4" w:space="0" w:color="auto"/>
              <w:left w:val="single" w:sz="4" w:space="0" w:color="auto"/>
              <w:bottom w:val="single" w:sz="4" w:space="0" w:color="auto"/>
              <w:right w:val="single" w:sz="4" w:space="0" w:color="auto"/>
            </w:tcBorders>
            <w:hideMark/>
          </w:tcPr>
          <w:p w14:paraId="2CDB1A48" w14:textId="77777777" w:rsidR="001B5A0B" w:rsidRPr="004649C7" w:rsidRDefault="001B5A0B" w:rsidP="002F1D3B">
            <w:pPr>
              <w:spacing w:after="120"/>
              <w:ind w:left="-567" w:right="-271" w:firstLine="567"/>
              <w:rPr>
                <w:smallCaps/>
                <w:sz w:val="22"/>
                <w:szCs w:val="22"/>
                <w:lang w:val="es-AR"/>
              </w:rPr>
            </w:pPr>
            <w:r w:rsidRPr="004649C7">
              <w:rPr>
                <w:smallCaps/>
                <w:sz w:val="22"/>
                <w:szCs w:val="22"/>
                <w:lang w:val="es-AR"/>
              </w:rPr>
              <w:t>Contacto y tel. Bco. custodio:</w:t>
            </w:r>
          </w:p>
        </w:tc>
        <w:tc>
          <w:tcPr>
            <w:tcW w:w="6237" w:type="dxa"/>
            <w:tcBorders>
              <w:top w:val="single" w:sz="4" w:space="0" w:color="auto"/>
              <w:left w:val="single" w:sz="4" w:space="0" w:color="auto"/>
              <w:bottom w:val="single" w:sz="4" w:space="0" w:color="auto"/>
              <w:right w:val="single" w:sz="4" w:space="0" w:color="auto"/>
            </w:tcBorders>
          </w:tcPr>
          <w:p w14:paraId="6C8BF420" w14:textId="77777777" w:rsidR="001B5A0B" w:rsidRPr="004649C7" w:rsidRDefault="001B5A0B" w:rsidP="002F1D3B">
            <w:pPr>
              <w:spacing w:after="120"/>
              <w:ind w:left="-567" w:right="-271" w:firstLine="567"/>
              <w:jc w:val="both"/>
              <w:rPr>
                <w:sz w:val="22"/>
                <w:szCs w:val="22"/>
                <w:lang w:val="es-AR"/>
              </w:rPr>
            </w:pPr>
          </w:p>
        </w:tc>
      </w:tr>
    </w:tbl>
    <w:p w14:paraId="2BFD1EA9" w14:textId="77777777" w:rsidR="001B5A0B" w:rsidRPr="004649C7" w:rsidRDefault="001B5A0B" w:rsidP="001B5A0B">
      <w:pPr>
        <w:tabs>
          <w:tab w:val="left" w:pos="4111"/>
        </w:tabs>
        <w:spacing w:after="120"/>
        <w:ind w:left="-567" w:firstLine="567"/>
        <w:jc w:val="both"/>
        <w:rPr>
          <w:sz w:val="22"/>
          <w:szCs w:val="22"/>
          <w:lang w:val="es-AR"/>
        </w:rPr>
      </w:pPr>
    </w:p>
    <w:p w14:paraId="288E05AC" w14:textId="77777777" w:rsidR="001B5A0B" w:rsidRPr="004649C7" w:rsidRDefault="001B5A0B" w:rsidP="001B5A0B">
      <w:pPr>
        <w:tabs>
          <w:tab w:val="left" w:pos="851"/>
        </w:tabs>
        <w:spacing w:after="120"/>
        <w:ind w:left="-567" w:firstLine="567"/>
        <w:jc w:val="both"/>
        <w:rPr>
          <w:sz w:val="22"/>
          <w:szCs w:val="22"/>
          <w:lang w:val="es-AR"/>
        </w:rPr>
      </w:pPr>
      <w:r w:rsidRPr="004649C7">
        <w:rPr>
          <w:sz w:val="22"/>
          <w:szCs w:val="22"/>
          <w:lang w:val="es-AR"/>
        </w:rPr>
        <w:t>A.</w:t>
      </w:r>
      <w:r w:rsidRPr="004649C7">
        <w:rPr>
          <w:sz w:val="22"/>
          <w:szCs w:val="22"/>
          <w:lang w:val="es-AR"/>
        </w:rPr>
        <w:tab/>
      </w:r>
      <w:r w:rsidRPr="004649C7">
        <w:rPr>
          <w:sz w:val="22"/>
          <w:szCs w:val="22"/>
          <w:u w:val="single"/>
          <w:lang w:val="es-AR"/>
        </w:rPr>
        <w:t>Integración</w:t>
      </w:r>
      <w:r w:rsidRPr="004649C7">
        <w:rPr>
          <w:smallCaps/>
          <w:sz w:val="22"/>
          <w:szCs w:val="22"/>
          <w:lang w:val="es-AR"/>
        </w:rPr>
        <w:t>:</w:t>
      </w:r>
      <w:r w:rsidRPr="004649C7">
        <w:rPr>
          <w:b/>
          <w:smallCaps/>
          <w:sz w:val="22"/>
          <w:szCs w:val="22"/>
          <w:lang w:val="es-AR"/>
        </w:rPr>
        <w:t xml:space="preserve"> </w:t>
      </w:r>
      <w:r w:rsidRPr="004649C7">
        <w:rPr>
          <w:sz w:val="22"/>
          <w:szCs w:val="22"/>
          <w:lang w:val="es-AR"/>
        </w:rPr>
        <w:t xml:space="preserve">En caso de ser adjudicado, el Oferente solicita que las Obligaciones Negociables sean liquidadas como se indica a continuación: </w:t>
      </w:r>
    </w:p>
    <w:p w14:paraId="1ACE9AFE" w14:textId="77777777" w:rsidR="003C56F0" w:rsidRPr="00F92AC2" w:rsidRDefault="003C56F0" w:rsidP="003C56F0">
      <w:pPr>
        <w:spacing w:after="120"/>
        <w:jc w:val="both"/>
        <w:rPr>
          <w:sz w:val="20"/>
        </w:rPr>
      </w:pPr>
      <w:r w:rsidRPr="00F92AC2">
        <w:rPr>
          <w:sz w:val="20"/>
        </w:rPr>
        <w:t xml:space="preserve">(___) (i) Liquidación por </w:t>
      </w:r>
      <w:r>
        <w:rPr>
          <w:sz w:val="20"/>
        </w:rPr>
        <w:t xml:space="preserve">A3 </w:t>
      </w:r>
      <w:r w:rsidRPr="00F92AC2">
        <w:rPr>
          <w:sz w:val="20"/>
        </w:rPr>
        <w:t>CLEAR:</w:t>
      </w:r>
    </w:p>
    <w:p w14:paraId="031CCE08" w14:textId="77777777" w:rsidR="003C56F0" w:rsidRPr="00F92AC2" w:rsidRDefault="003C56F0" w:rsidP="003C56F0">
      <w:pPr>
        <w:spacing w:after="120"/>
        <w:jc w:val="both"/>
        <w:rPr>
          <w:sz w:val="20"/>
        </w:rPr>
      </w:pPr>
      <w:r w:rsidRPr="00F92AC2">
        <w:rPr>
          <w:sz w:val="20"/>
        </w:rPr>
        <w:t xml:space="preserve">El Oferente autoriza a _________ </w:t>
      </w:r>
      <w:proofErr w:type="spellStart"/>
      <w:r w:rsidRPr="00F92AC2">
        <w:rPr>
          <w:sz w:val="20"/>
        </w:rPr>
        <w:t>a</w:t>
      </w:r>
      <w:proofErr w:type="spellEnd"/>
      <w:r w:rsidRPr="00F92AC2">
        <w:rPr>
          <w:sz w:val="20"/>
        </w:rPr>
        <w:t xml:space="preserve"> realizar la integración y acreditación de las Obligaciones Negociables adjudicadas a través de _________ (indicar razón social), en su carácter de banco custodio del Oferente, a través de </w:t>
      </w:r>
      <w:r>
        <w:rPr>
          <w:sz w:val="20"/>
        </w:rPr>
        <w:t xml:space="preserve">A3 </w:t>
      </w:r>
      <w:r w:rsidRPr="00F92AC2">
        <w:rPr>
          <w:sz w:val="20"/>
        </w:rPr>
        <w:t xml:space="preserve">CLEAR y </w:t>
      </w:r>
      <w:proofErr w:type="gramStart"/>
      <w:r w:rsidRPr="00F92AC2">
        <w:rPr>
          <w:sz w:val="20"/>
        </w:rPr>
        <w:t>de acuerdo a</w:t>
      </w:r>
      <w:proofErr w:type="gramEnd"/>
      <w:r w:rsidRPr="00F92AC2">
        <w:rPr>
          <w:sz w:val="20"/>
        </w:rPr>
        <w:t xml:space="preserve"> sus procedimientos aplicables; y/o</w:t>
      </w:r>
    </w:p>
    <w:p w14:paraId="0318AE86" w14:textId="77777777" w:rsidR="003C56F0" w:rsidRPr="00F92AC2" w:rsidRDefault="003C56F0" w:rsidP="003C56F0">
      <w:pPr>
        <w:spacing w:after="120"/>
        <w:jc w:val="both"/>
        <w:rPr>
          <w:sz w:val="20"/>
        </w:rPr>
      </w:pPr>
    </w:p>
    <w:p w14:paraId="64EC0533" w14:textId="77777777" w:rsidR="003C56F0" w:rsidRPr="00F92AC2" w:rsidRDefault="003C56F0" w:rsidP="003C56F0">
      <w:pPr>
        <w:spacing w:after="120"/>
        <w:jc w:val="both"/>
        <w:rPr>
          <w:sz w:val="20"/>
        </w:rPr>
      </w:pPr>
      <w:r w:rsidRPr="00F92AC2">
        <w:rPr>
          <w:sz w:val="20"/>
        </w:rPr>
        <w:t>(___) (</w:t>
      </w:r>
      <w:proofErr w:type="spellStart"/>
      <w:r w:rsidRPr="00F92AC2">
        <w:rPr>
          <w:sz w:val="20"/>
        </w:rPr>
        <w:t>ii</w:t>
      </w:r>
      <w:proofErr w:type="spellEnd"/>
      <w:r w:rsidRPr="00F92AC2">
        <w:rPr>
          <w:sz w:val="20"/>
        </w:rPr>
        <w:t>) Liquidación a través de</w:t>
      </w:r>
      <w:r>
        <w:rPr>
          <w:sz w:val="20"/>
        </w:rPr>
        <w:t>l</w:t>
      </w:r>
      <w:r w:rsidRPr="00F92AC2">
        <w:rPr>
          <w:sz w:val="20"/>
        </w:rPr>
        <w:t xml:space="preserve"> Colocador:</w:t>
      </w:r>
    </w:p>
    <w:p w14:paraId="4D90610B" w14:textId="77777777" w:rsidR="003C56F0" w:rsidRDefault="003C56F0" w:rsidP="003C56F0">
      <w:pPr>
        <w:spacing w:after="120"/>
        <w:jc w:val="both"/>
        <w:rPr>
          <w:sz w:val="20"/>
        </w:rPr>
      </w:pPr>
      <w:r w:rsidRPr="00F92AC2">
        <w:rPr>
          <w:sz w:val="20"/>
        </w:rPr>
        <w:t xml:space="preserve">Siendo titular de la cuenta </w:t>
      </w:r>
      <w:r>
        <w:rPr>
          <w:sz w:val="20"/>
        </w:rPr>
        <w:t>D</w:t>
      </w:r>
      <w:r w:rsidRPr="00F92AC2">
        <w:rPr>
          <w:sz w:val="20"/>
        </w:rPr>
        <w:t>epositante N°</w:t>
      </w:r>
      <w:r>
        <w:rPr>
          <w:sz w:val="20"/>
        </w:rPr>
        <w:t>6</w:t>
      </w:r>
      <w:r w:rsidRPr="00F92AC2">
        <w:rPr>
          <w:sz w:val="20"/>
        </w:rPr>
        <w:t xml:space="preserve"> Comitente N°</w:t>
      </w:r>
      <w:r>
        <w:rPr>
          <w:sz w:val="20"/>
        </w:rPr>
        <w:t xml:space="preserve"> </w:t>
      </w:r>
      <w:r w:rsidRPr="00F92AC2">
        <w:rPr>
          <w:sz w:val="20"/>
        </w:rPr>
        <w:t>[●] (la “Cuenta Comitente</w:t>
      </w:r>
      <w:r>
        <w:rPr>
          <w:sz w:val="20"/>
        </w:rPr>
        <w:t>”</w:t>
      </w:r>
      <w:r w:rsidRPr="00F92AC2">
        <w:rPr>
          <w:sz w:val="20"/>
        </w:rPr>
        <w:t xml:space="preserve">) abierta en </w:t>
      </w:r>
      <w:proofErr w:type="gramStart"/>
      <w:r w:rsidRPr="00F92AC2">
        <w:rPr>
          <w:sz w:val="20"/>
        </w:rPr>
        <w:t>Caja</w:t>
      </w:r>
      <w:proofErr w:type="gramEnd"/>
      <w:r w:rsidRPr="00F92AC2">
        <w:rPr>
          <w:sz w:val="20"/>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F92AC2">
        <w:rPr>
          <w:sz w:val="20"/>
        </w:rPr>
        <w:t>ii</w:t>
      </w:r>
      <w:proofErr w:type="spellEnd"/>
      <w:r w:rsidRPr="00F92AC2">
        <w:rPr>
          <w:sz w:val="20"/>
        </w:rPr>
        <w:t>) solicita que dichas Obligaciones Negociables adjudicadas se acrediten en la Cuenta Comitente</w:t>
      </w:r>
      <w:r>
        <w:rPr>
          <w:sz w:val="20"/>
        </w:rPr>
        <w:t>.</w:t>
      </w:r>
    </w:p>
    <w:p w14:paraId="5BD6E0E5" w14:textId="77777777" w:rsidR="001B5A0B" w:rsidRPr="004649C7" w:rsidRDefault="001B5A0B" w:rsidP="001B5A0B">
      <w:pPr>
        <w:spacing w:after="120"/>
        <w:ind w:left="-567" w:right="-271" w:firstLine="567"/>
        <w:jc w:val="both"/>
        <w:rPr>
          <w:sz w:val="22"/>
          <w:szCs w:val="22"/>
          <w:lang w:val="es-AR"/>
        </w:rPr>
      </w:pPr>
    </w:p>
    <w:p w14:paraId="5D7E85A2" w14:textId="02D87028" w:rsidR="001B5A0B" w:rsidRPr="004649C7" w:rsidRDefault="001B5A0B" w:rsidP="001B5A0B">
      <w:pPr>
        <w:spacing w:after="120"/>
        <w:ind w:left="-567" w:right="-271" w:firstLine="567"/>
        <w:jc w:val="both"/>
        <w:rPr>
          <w:sz w:val="22"/>
          <w:szCs w:val="22"/>
          <w:lang w:val="es-AR"/>
        </w:rPr>
      </w:pPr>
      <w:r w:rsidRPr="004649C7">
        <w:rPr>
          <w:sz w:val="22"/>
          <w:szCs w:val="22"/>
          <w:lang w:val="es-AR"/>
        </w:rPr>
        <w:t xml:space="preserve">B. </w:t>
      </w:r>
      <w:r w:rsidRPr="004649C7">
        <w:rPr>
          <w:sz w:val="22"/>
          <w:szCs w:val="22"/>
          <w:lang w:val="es-AR"/>
        </w:rPr>
        <w:tab/>
      </w:r>
      <w:r w:rsidRPr="004649C7">
        <w:rPr>
          <w:sz w:val="22"/>
          <w:szCs w:val="22"/>
          <w:u w:val="single"/>
          <w:lang w:val="es-AR"/>
        </w:rPr>
        <w:t>Adjudicación:</w:t>
      </w:r>
      <w:r w:rsidRPr="004649C7">
        <w:rPr>
          <w:sz w:val="22"/>
          <w:szCs w:val="22"/>
          <w:lang w:val="es-AR"/>
        </w:rPr>
        <w:t xml:space="preserve"> Las adjudicaciones se efectuarán </w:t>
      </w:r>
      <w:proofErr w:type="gramStart"/>
      <w:r w:rsidRPr="004649C7">
        <w:rPr>
          <w:sz w:val="22"/>
          <w:szCs w:val="22"/>
          <w:lang w:val="es-AR"/>
        </w:rPr>
        <w:t>de acuerdo al</w:t>
      </w:r>
      <w:proofErr w:type="gramEnd"/>
      <w:r w:rsidRPr="004649C7">
        <w:rPr>
          <w:sz w:val="22"/>
          <w:szCs w:val="22"/>
          <w:lang w:val="es-AR"/>
        </w:rPr>
        <w:t xml:space="preserve"> Sistema SIOPEL del A</w:t>
      </w:r>
      <w:r w:rsidR="00E22965">
        <w:rPr>
          <w:sz w:val="22"/>
          <w:szCs w:val="22"/>
          <w:lang w:val="es-AR"/>
        </w:rPr>
        <w:t>3</w:t>
      </w:r>
      <w:r w:rsidRPr="004649C7">
        <w:rPr>
          <w:sz w:val="22"/>
          <w:szCs w:val="22"/>
          <w:lang w:val="es-AR"/>
        </w:rPr>
        <w:t xml:space="preserve"> conforme al mecanismo de adjudicación descripto en el apartado “</w:t>
      </w:r>
      <w:r w:rsidRPr="004649C7">
        <w:rPr>
          <w:i/>
          <w:sz w:val="22"/>
          <w:szCs w:val="22"/>
          <w:lang w:val="es-AR"/>
        </w:rPr>
        <w:t>Forma de Colocación</w:t>
      </w:r>
      <w:r w:rsidRPr="004649C7">
        <w:rPr>
          <w:sz w:val="22"/>
          <w:szCs w:val="22"/>
          <w:lang w:val="es-AR"/>
        </w:rPr>
        <w:t xml:space="preserve">” del Prospecto, el cual declaramos </w:t>
      </w:r>
      <w:r w:rsidRPr="004649C7">
        <w:rPr>
          <w:sz w:val="22"/>
          <w:szCs w:val="22"/>
          <w:lang w:val="es-AR"/>
        </w:rPr>
        <w:lastRenderedPageBreak/>
        <w:t>conocer y aceptar.</w:t>
      </w:r>
    </w:p>
    <w:p w14:paraId="59D98CE3" w14:textId="77777777" w:rsidR="001B5A0B" w:rsidRPr="004649C7" w:rsidRDefault="001B5A0B" w:rsidP="001B5A0B">
      <w:pPr>
        <w:spacing w:after="120"/>
        <w:ind w:left="-567" w:right="-271" w:firstLine="567"/>
        <w:jc w:val="both"/>
        <w:rPr>
          <w:sz w:val="22"/>
          <w:szCs w:val="22"/>
          <w:lang w:val="es-AR"/>
        </w:rPr>
      </w:pPr>
      <w:r w:rsidRPr="004649C7">
        <w:rPr>
          <w:sz w:val="22"/>
          <w:szCs w:val="22"/>
          <w:lang w:val="es-AR"/>
        </w:rPr>
        <w:t xml:space="preserve">El Oferente transferirá al Colocador los fondos necesarios para integrar las Obligaciones Negociables en la fecha que corresponda efectuar dicha integración. En caso que el Oferente no abonare el precio de suscripción mediante la forma de integración seleccionada en la presente y en la fecha correspondiente, el derecho del Oferente a recibir las Obligaciones Negociables que le hayan sido adjudicadas caducará automáticamente. La Emisora y el respectivo Colocador no asumen ningún tipo de responsabilidad por la falta de pago del precio de suscripción de las Obligaciones Negociables por parte de los Oferentes. </w:t>
      </w:r>
    </w:p>
    <w:p w14:paraId="09FED608" w14:textId="77777777" w:rsidR="001B5A0B" w:rsidRPr="004649C7" w:rsidRDefault="001B5A0B" w:rsidP="001B5A0B">
      <w:pPr>
        <w:spacing w:after="120"/>
        <w:ind w:left="-567" w:right="-271" w:firstLine="567"/>
        <w:jc w:val="both"/>
        <w:rPr>
          <w:sz w:val="22"/>
          <w:szCs w:val="22"/>
          <w:lang w:val="es-AR"/>
        </w:rPr>
      </w:pPr>
    </w:p>
    <w:p w14:paraId="1065A429" w14:textId="77777777" w:rsidR="001B5A0B" w:rsidRPr="004649C7" w:rsidRDefault="001B5A0B" w:rsidP="001B5A0B">
      <w:pPr>
        <w:spacing w:after="120"/>
        <w:ind w:left="-567" w:right="-271" w:firstLine="567"/>
        <w:jc w:val="both"/>
        <w:rPr>
          <w:sz w:val="22"/>
          <w:szCs w:val="22"/>
          <w:lang w:val="es-AR"/>
        </w:rPr>
      </w:pPr>
      <w:r w:rsidRPr="004649C7">
        <w:rPr>
          <w:sz w:val="22"/>
          <w:szCs w:val="22"/>
          <w:lang w:val="es-AR"/>
        </w:rPr>
        <w:t xml:space="preserve">C. </w:t>
      </w:r>
      <w:r w:rsidRPr="004649C7">
        <w:rPr>
          <w:sz w:val="22"/>
          <w:szCs w:val="22"/>
          <w:lang w:val="es-AR"/>
        </w:rPr>
        <w:tab/>
      </w:r>
      <w:r w:rsidRPr="004649C7">
        <w:rPr>
          <w:sz w:val="22"/>
          <w:szCs w:val="22"/>
          <w:u w:val="single"/>
          <w:lang w:val="es-AR"/>
        </w:rPr>
        <w:t>Acreditación</w:t>
      </w:r>
      <w:r w:rsidRPr="004649C7">
        <w:rPr>
          <w:sz w:val="22"/>
          <w:szCs w:val="22"/>
          <w:lang w:val="es-AR"/>
        </w:rPr>
        <w:t>: Una vez efectuada la emisión de las Obligaciones Negociables, el Colocador procederá a acreditar dichos títulos emitidos a favor del Oferente en la cuenta en Caja de Valores S.A. (la “</w:t>
      </w:r>
      <w:r w:rsidRPr="004649C7">
        <w:rPr>
          <w:sz w:val="22"/>
          <w:szCs w:val="22"/>
          <w:u w:val="single"/>
          <w:lang w:val="es-AR"/>
        </w:rPr>
        <w:t>CVSA</w:t>
      </w:r>
      <w:r w:rsidRPr="004649C7">
        <w:rPr>
          <w:sz w:val="22"/>
          <w:szCs w:val="22"/>
          <w:lang w:val="es-AR"/>
        </w:rPr>
        <w:t>”) que se detalla más arriba. En caso que el Oferente no abonare el precio de suscripción mediante la integración en efectivo y en la fecha correspondiente, el derecho del Oferente a recibir las Obligaciones Negociables que le hayan sido adjudicadas caducará automáticamente.</w:t>
      </w:r>
    </w:p>
    <w:p w14:paraId="265775AA" w14:textId="77777777" w:rsidR="001B5A0B" w:rsidRPr="004649C7" w:rsidRDefault="001B5A0B" w:rsidP="001B5A0B">
      <w:pPr>
        <w:spacing w:after="120"/>
        <w:ind w:left="-567" w:right="-271" w:firstLine="567"/>
        <w:jc w:val="both"/>
        <w:rPr>
          <w:sz w:val="22"/>
          <w:szCs w:val="22"/>
          <w:lang w:val="es-AR"/>
        </w:rPr>
      </w:pPr>
    </w:p>
    <w:p w14:paraId="0449BA27" w14:textId="77777777" w:rsidR="001B5A0B" w:rsidRPr="004649C7" w:rsidRDefault="001B5A0B" w:rsidP="001B5A0B">
      <w:pPr>
        <w:spacing w:after="120"/>
        <w:ind w:left="-567" w:right="-271" w:firstLine="567"/>
        <w:jc w:val="both"/>
        <w:rPr>
          <w:sz w:val="22"/>
          <w:szCs w:val="22"/>
          <w:u w:val="single"/>
          <w:lang w:val="es-AR"/>
        </w:rPr>
      </w:pPr>
      <w:r w:rsidRPr="004649C7">
        <w:rPr>
          <w:sz w:val="22"/>
          <w:szCs w:val="22"/>
          <w:lang w:val="es-AR"/>
        </w:rPr>
        <w:t xml:space="preserve">D. </w:t>
      </w:r>
      <w:r w:rsidRPr="004649C7">
        <w:rPr>
          <w:sz w:val="22"/>
          <w:szCs w:val="22"/>
          <w:lang w:val="es-AR"/>
        </w:rPr>
        <w:tab/>
      </w:r>
      <w:r w:rsidRPr="004649C7">
        <w:rPr>
          <w:sz w:val="22"/>
          <w:szCs w:val="22"/>
          <w:u w:val="single"/>
          <w:lang w:val="es-AR"/>
        </w:rPr>
        <w:t>Manifestaciones del Oferente:</w:t>
      </w:r>
    </w:p>
    <w:p w14:paraId="41D06A99" w14:textId="155B9B34" w:rsidR="001B5A0B" w:rsidRPr="004649C7" w:rsidRDefault="001B5A0B" w:rsidP="00AB569A">
      <w:pPr>
        <w:spacing w:after="120"/>
        <w:ind w:left="-567" w:right="-271" w:firstLine="567"/>
        <w:jc w:val="both"/>
        <w:rPr>
          <w:sz w:val="22"/>
          <w:szCs w:val="22"/>
          <w:lang w:val="es-AR"/>
        </w:rPr>
      </w:pPr>
      <w:r w:rsidRPr="004649C7">
        <w:rPr>
          <w:sz w:val="22"/>
          <w:szCs w:val="22"/>
          <w:lang w:val="es-AR"/>
        </w:rPr>
        <w:t xml:space="preserve">(i) </w:t>
      </w:r>
      <w:r w:rsidRPr="004649C7">
        <w:rPr>
          <w:sz w:val="22"/>
          <w:szCs w:val="22"/>
          <w:lang w:val="es-AR"/>
        </w:rPr>
        <w:tab/>
        <w:t xml:space="preserve">El Oferente acepta que la Emisora, con la colaboración del Colocador, en base a la información ingresada al Sistema SIOPEL, determinará el monto total de Obligaciones Negociables a ser emitido, el Diferencial de Corte y los demás datos que pudieran ser necesarios, en su caso, para todas las Órdenes de Compra aceptadas, el cual el Oferente declara conocer y aceptar. </w:t>
      </w:r>
    </w:p>
    <w:p w14:paraId="68FB755A" w14:textId="7F6183E3" w:rsidR="001B5A0B" w:rsidRPr="004649C7" w:rsidRDefault="001B5A0B" w:rsidP="001B5A0B">
      <w:pPr>
        <w:spacing w:after="120"/>
        <w:ind w:left="-567" w:right="-271" w:firstLine="567"/>
        <w:jc w:val="both"/>
        <w:rPr>
          <w:sz w:val="22"/>
          <w:szCs w:val="22"/>
          <w:lang w:val="es-AR"/>
        </w:rPr>
      </w:pPr>
      <w:r w:rsidRPr="004649C7">
        <w:rPr>
          <w:sz w:val="22"/>
          <w:szCs w:val="22"/>
          <w:lang w:val="es-AR"/>
        </w:rPr>
        <w:t>(</w:t>
      </w:r>
      <w:proofErr w:type="spellStart"/>
      <w:r w:rsidRPr="004649C7">
        <w:rPr>
          <w:sz w:val="22"/>
          <w:szCs w:val="22"/>
          <w:lang w:val="es-AR"/>
        </w:rPr>
        <w:t>ii</w:t>
      </w:r>
      <w:proofErr w:type="spellEnd"/>
      <w:r w:rsidRPr="004649C7">
        <w:rPr>
          <w:sz w:val="22"/>
          <w:szCs w:val="22"/>
          <w:lang w:val="es-AR"/>
        </w:rPr>
        <w:t>)</w:t>
      </w:r>
      <w:r w:rsidRPr="004649C7">
        <w:rPr>
          <w:sz w:val="22"/>
          <w:szCs w:val="22"/>
          <w:lang w:val="es-AR"/>
        </w:rPr>
        <w:tab/>
        <w:t>El Oferente manifiesta con carácter de declaración jurada: (a) que ha recibido copia íntegra de los Documentos de la Emisión; (b) que ha tomado conocimiento del Aviso de Suscripción de las Obligaciones Negociables publicado el</w:t>
      </w:r>
      <w:r>
        <w:rPr>
          <w:sz w:val="22"/>
          <w:szCs w:val="22"/>
          <w:lang w:val="es-AR"/>
        </w:rPr>
        <w:t xml:space="preserve"> </w:t>
      </w:r>
      <w:r w:rsidR="00AB569A">
        <w:rPr>
          <w:sz w:val="22"/>
          <w:szCs w:val="22"/>
          <w:lang w:val="es-AR"/>
        </w:rPr>
        <w:t xml:space="preserve">7 de agosto </w:t>
      </w:r>
      <w:r w:rsidRPr="004649C7">
        <w:rPr>
          <w:sz w:val="22"/>
          <w:szCs w:val="22"/>
          <w:lang w:val="es-AR"/>
        </w:rPr>
        <w:t>de 202</w:t>
      </w:r>
      <w:r w:rsidR="00DC6143">
        <w:rPr>
          <w:sz w:val="22"/>
          <w:szCs w:val="22"/>
          <w:lang w:val="es-AR"/>
        </w:rPr>
        <w:t>5</w:t>
      </w:r>
      <w:r w:rsidRPr="004649C7">
        <w:rPr>
          <w:sz w:val="22"/>
          <w:szCs w:val="22"/>
          <w:lang w:val="es-AR"/>
        </w:rPr>
        <w:t xml:space="preserve"> en los Boletines Diarios de los Mercados y en la Página Web de la CNV, incluyendo, sin limitación, la información sobre el Período de Difusión y el Período de Licitación  (c) que ha sido informado por el Colocador de la metodología aplicable a la presente Orden de Compra para la adquisición de las Obligaciones Negociables todo ello, según se establece en el apartado </w:t>
      </w:r>
      <w:r w:rsidRPr="004649C7">
        <w:rPr>
          <w:i/>
          <w:sz w:val="22"/>
          <w:szCs w:val="22"/>
          <w:lang w:val="es-AR"/>
        </w:rPr>
        <w:t>“Forma de la Colocación”</w:t>
      </w:r>
      <w:r w:rsidRPr="004649C7">
        <w:rPr>
          <w:sz w:val="22"/>
          <w:szCs w:val="22"/>
          <w:lang w:val="es-AR"/>
        </w:rPr>
        <w:t>; (d) que conoce y entiende íntegra y acabadamente el contenido de los Documentos de la Emisión, las normas y resoluciones complementarias que regulan la presente Orden de Compra, así como sus condiciones y limitaciones; (e) que entiende las características de los términos y condiciones de las Obligaciones Negociables y demás términos y condiciones previstos en el Documento de la Emisión, adhiriendo y declarando conocer, a través de la suscripción de la presente y a los efectos del cumplimiento de lo dispuesto por las Normas de la CNV, junto con sus actualizaciones y modificaciones, (las “</w:t>
      </w:r>
      <w:r w:rsidRPr="004649C7">
        <w:rPr>
          <w:sz w:val="22"/>
          <w:szCs w:val="22"/>
          <w:u w:val="single"/>
          <w:lang w:val="es-AR"/>
        </w:rPr>
        <w:t>Normas de la CNV</w:t>
      </w:r>
      <w:r w:rsidRPr="004649C7">
        <w:rPr>
          <w:sz w:val="22"/>
          <w:szCs w:val="22"/>
          <w:lang w:val="es-AR"/>
        </w:rPr>
        <w:t>”), la totalidad de la información contenida en l</w:t>
      </w:r>
      <w:r w:rsidR="00C87052">
        <w:rPr>
          <w:sz w:val="22"/>
          <w:szCs w:val="22"/>
          <w:lang w:val="es-AR"/>
        </w:rPr>
        <w:t>os</w:t>
      </w:r>
      <w:r w:rsidRPr="004649C7">
        <w:rPr>
          <w:sz w:val="22"/>
          <w:szCs w:val="22"/>
          <w:lang w:val="es-AR"/>
        </w:rPr>
        <w:t xml:space="preserve"> Documento</w:t>
      </w:r>
      <w:r w:rsidR="00C87052">
        <w:rPr>
          <w:sz w:val="22"/>
          <w:szCs w:val="22"/>
          <w:lang w:val="es-AR"/>
        </w:rPr>
        <w:t>s</w:t>
      </w:r>
      <w:r w:rsidRPr="004649C7">
        <w:rPr>
          <w:sz w:val="22"/>
          <w:szCs w:val="22"/>
          <w:lang w:val="es-AR"/>
        </w:rPr>
        <w:t xml:space="preserve"> de la Emisión, los cuales contienen en forma detallada una descripción de dichos términos y condiciones; (f)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la Emisora, las Obligaciones Negociables, los Documentos de la Emisión, y considera que los mismos son adecuados a su nivel de entendimiento, perfil del inversor y tolerancia al riesgo, y que no ha recibido ningún tipo de asesoramiento legal, comercial, financiero, impositivo y/o de otro tipo por parte del Colocador y/o de cualquiera de sus empleados, agentes, directores y/o gerentes, y/o de cualquiera de sus sociedades controlantes, controladas, vinculadas o sujetas al control común (o de sus empleados, agentes, directores y/o gerentes), ni tampoco información o declaraciones sobre las Obligaciones Negociables y/o la Emisora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empleados, agentes, directores y/o gerentes, y/o de cualquiera de sus sociedades controlantes, controladas, vinculadas o sujetas al control común (o de sus empleados, agentes, directores y/o gerentes); (g) que la decisión de efectuar la presente Orden de Compra ha sido tomada en base a su propio análisis, y que la aceptación por parte del Colocador de la presente Orden de Compra no implica recomendación ni sugerencia de su parte a realizar la misma; (h) que el Colocador no asume responsabilidad alguna, ni otorga garantía respecto de</w:t>
      </w:r>
      <w:r w:rsidR="00AB569A">
        <w:rPr>
          <w:sz w:val="22"/>
          <w:szCs w:val="22"/>
          <w:lang w:val="es-AR"/>
        </w:rPr>
        <w:t>l</w:t>
      </w:r>
      <w:r w:rsidRPr="004649C7">
        <w:rPr>
          <w:sz w:val="22"/>
          <w:szCs w:val="22"/>
          <w:lang w:val="es-AR"/>
        </w:rPr>
        <w:t xml:space="preserve"> Diferencial de Corte, el Diferencial de Tasa Solicitad</w:t>
      </w:r>
      <w:r w:rsidR="00AB569A">
        <w:rPr>
          <w:sz w:val="22"/>
          <w:szCs w:val="22"/>
          <w:lang w:val="es-AR"/>
        </w:rPr>
        <w:t>o</w:t>
      </w:r>
      <w:r w:rsidRPr="004649C7">
        <w:rPr>
          <w:sz w:val="22"/>
          <w:szCs w:val="22"/>
          <w:lang w:val="es-AR"/>
        </w:rPr>
        <w:t xml:space="preserve"> y el precio de suscripción que resulten del proceso de difusión, subasta pública y adjudicación de las Obligaciones Negociables, </w:t>
      </w:r>
      <w:r w:rsidRPr="004649C7">
        <w:rPr>
          <w:sz w:val="22"/>
          <w:szCs w:val="22"/>
          <w:lang w:val="es-AR"/>
        </w:rPr>
        <w:lastRenderedPageBreak/>
        <w:t>así como en el caso que por decisión gubernamental o normativa, se dejara sin efecto la presente Orden de Compra, la licitación, o alguna de las operaciones relacionadas con el Prospecto, los Documentos de la Emisión, o se modificara de forma tal la legislación en la materia que la presente se tornara de imposible cumplimiento; (i) que la Orden de Compra constituye una solicitud de compra; (j) que el Colocador podrá rechazar la presente Orden de Compra en caso que, según su opinión, pueda tratarse de una operación sospechosa en los términos de Ley N° 25.246 de Lavado de Activos y Financiamiento del Terrorismo, modificada y/o complementada posteriormente por las Leyes N° 26.087, N° 26.119, N° 26.268, N° 26.682, N° 26.831, N° 26.733, N° 26.734, N° 26.860, N° 27.260, N° 27.304 y 27.739, y sus complementarias y modificatorias (en conjunto, la “</w:t>
      </w:r>
      <w:r w:rsidRPr="004649C7">
        <w:rPr>
          <w:sz w:val="22"/>
          <w:szCs w:val="22"/>
          <w:u w:val="single"/>
          <w:lang w:val="es-AR"/>
        </w:rPr>
        <w:t>Ley de Lavado de Activos</w:t>
      </w:r>
      <w:r w:rsidRPr="004649C7">
        <w:rPr>
          <w:sz w:val="22"/>
          <w:szCs w:val="22"/>
          <w:lang w:val="es-AR"/>
        </w:rPr>
        <w:t>”), las resoluciones de la Unidad de Información Financiera (la “</w:t>
      </w:r>
      <w:r w:rsidRPr="004649C7">
        <w:rPr>
          <w:sz w:val="22"/>
          <w:szCs w:val="22"/>
          <w:u w:val="single"/>
          <w:lang w:val="es-AR"/>
        </w:rPr>
        <w:t>UIF</w:t>
      </w:r>
      <w:r w:rsidRPr="004649C7">
        <w:rPr>
          <w:sz w:val="22"/>
          <w:szCs w:val="22"/>
          <w:lang w:val="es-AR"/>
        </w:rPr>
        <w:t xml:space="preserve">”), la CNV y/o el BCRA; (k) que no se encuentra radicado en una jurisdicción tiene domicilio o se encuentra radicado en una jurisdicción de un país, dominio, jurisdicción, territorio, estado asociado o régimen tributario especial no considerado “cooperante a los fines de la transparencia fiscal” o considerado de “baja o nula tributación” en los términos de lo dispuesto por la </w:t>
      </w:r>
      <w:r w:rsidRPr="004649C7">
        <w:rPr>
          <w:rFonts w:eastAsiaTheme="minorHAnsi"/>
          <w:color w:val="000000"/>
          <w:sz w:val="22"/>
          <w:szCs w:val="22"/>
          <w:lang w:val="es-AR" w:eastAsia="en-US"/>
        </w:rPr>
        <w:t>Ley de Impuesto a las Ganancias N° 20.628 y según lo establecido por el Decreto Reglamentario N° 862/2019 de dicha ley (conforme fuera modificado por el Decreto N° 48/2023</w:t>
      </w:r>
      <w:r w:rsidRPr="004649C7">
        <w:rPr>
          <w:sz w:val="22"/>
          <w:szCs w:val="22"/>
          <w:lang w:val="es-AR"/>
        </w:rPr>
        <w:t xml:space="preserve">, ni utiliza cuentas bancarias localizadas o abiertas en entidades financieras radicadas un país, dominio, jurisdicción, territorio, estado asociado o régimen tributario especial no considerado “cooperante a los fines de la transparencia fiscal” o considerado de “baja o nula tributación” a efectos de realizar la suscripción de las Obligaciones Negociables; (l) que acepta que ni la Emisora ni el Colocador le garantizarán que mediante el mecanismo de adjudicación de las Obligaciones Negociables dispuesto por el Sistema SIOPEL de </w:t>
      </w:r>
      <w:r w:rsidR="00E22965">
        <w:rPr>
          <w:sz w:val="22"/>
          <w:szCs w:val="22"/>
          <w:lang w:val="es-AR"/>
        </w:rPr>
        <w:t>A3</w:t>
      </w:r>
      <w:r w:rsidRPr="004649C7">
        <w:rPr>
          <w:sz w:val="22"/>
          <w:szCs w:val="22"/>
          <w:lang w:val="es-AR"/>
        </w:rPr>
        <w:t xml:space="preserve"> descripto en el Prospecto</w:t>
      </w:r>
      <w:r w:rsidR="00AB569A">
        <w:rPr>
          <w:sz w:val="22"/>
          <w:szCs w:val="22"/>
          <w:lang w:val="es-AR"/>
        </w:rPr>
        <w:t>:</w:t>
      </w:r>
      <w:r w:rsidRPr="004649C7">
        <w:rPr>
          <w:sz w:val="22"/>
          <w:szCs w:val="22"/>
          <w:lang w:val="es-AR"/>
        </w:rPr>
        <w:t xml:space="preserve"> (i) se le adjudicará el mismo valor nominal de Obligaciones Negociables solicitado en la presente Orden de Compra; ni que (</w:t>
      </w:r>
      <w:proofErr w:type="spellStart"/>
      <w:r w:rsidRPr="004649C7">
        <w:rPr>
          <w:sz w:val="22"/>
          <w:szCs w:val="22"/>
          <w:lang w:val="es-AR"/>
        </w:rPr>
        <w:t>ii</w:t>
      </w:r>
      <w:proofErr w:type="spellEnd"/>
      <w:r w:rsidRPr="004649C7">
        <w:rPr>
          <w:sz w:val="22"/>
          <w:szCs w:val="22"/>
          <w:lang w:val="es-AR"/>
        </w:rPr>
        <w:t xml:space="preserve">) se les adjudicarán las Obligaciones Negociables al </w:t>
      </w:r>
      <w:r w:rsidR="008B41E0">
        <w:rPr>
          <w:sz w:val="22"/>
          <w:szCs w:val="22"/>
          <w:lang w:val="es-AR"/>
        </w:rPr>
        <w:t>Diferencial de Tasa</w:t>
      </w:r>
      <w:r w:rsidRPr="004649C7">
        <w:rPr>
          <w:sz w:val="22"/>
          <w:szCs w:val="22"/>
          <w:lang w:val="es-AR"/>
        </w:rPr>
        <w:t xml:space="preserve"> Solicitado; (m) que acepta que sujeto a lo dispuesto en los Documentos de la Emisión, ni el Colocador, ni la Emisora serán responsables por los problemas, fallas, pérdidas de enlace, errores en la aplicación ni caídas del software al utilizar el Sistema SIOPEL del A</w:t>
      </w:r>
      <w:r w:rsidR="00E22965">
        <w:rPr>
          <w:sz w:val="22"/>
          <w:szCs w:val="22"/>
          <w:lang w:val="es-AR"/>
        </w:rPr>
        <w:t>3</w:t>
      </w:r>
      <w:r w:rsidRPr="004649C7">
        <w:rPr>
          <w:sz w:val="22"/>
          <w:szCs w:val="22"/>
          <w:lang w:val="es-AR"/>
        </w:rPr>
        <w:t>; (n) que acepta que la Emisora podrá declarar desierta la colocación en los casos detallados en el Prospecto; (o) que conoce y acepta que las Obligaciones Negociables no integradas serán canceladas con posterioridad a la Fecha de Emisión y Liquidación; (p) que acepta cumplir con todos los actos relativos a la integración de las Obligaciones Negociables en un todo de acuerdo con la normativa del BCRA aplicable en materia cambiaria; (q) que cualquier impuesto, costo, arancel, contribuciones o gravámenes a que dieran lugar la presente, estarán a su cargo y podrán ser debitadas de sus cuentas; (r) que todos los datos informados en la presente reciben el carácter de declaración jurada y son correctos y completos al día de la fecha, en tal sentido, se compromete a notificar al Colocador cualquier cambio/modificación que se produzca respecto de los datos y documentación aportada dentro de los 30 (treinta) días corridos de producidos;</w:t>
      </w:r>
      <w:r w:rsidR="003D0AB9">
        <w:rPr>
          <w:sz w:val="22"/>
          <w:szCs w:val="22"/>
          <w:lang w:val="es-AR"/>
        </w:rPr>
        <w:t xml:space="preserve"> y</w:t>
      </w:r>
      <w:r w:rsidRPr="004649C7">
        <w:rPr>
          <w:sz w:val="22"/>
          <w:szCs w:val="22"/>
          <w:lang w:val="es-AR"/>
        </w:rPr>
        <w:t xml:space="preserve"> (s) que reconoce que la presente Orden de Compra constituye una manifestación de interés irrevocable, vinculante y definitiva en los términos del artículo 27 del Capítulo V, Sección II de las Normas de la CNV, la cual no podrá ser desistida (salvo en el caso de prórroga del Período de Licitación Pública) y, por lo tanto, renuncia a su facultad de revocación, ratificación ni de que la misma sea retirada</w:t>
      </w:r>
      <w:r w:rsidR="003D0AB9">
        <w:rPr>
          <w:sz w:val="22"/>
          <w:szCs w:val="22"/>
          <w:lang w:val="es-AR"/>
        </w:rPr>
        <w:t>.</w:t>
      </w:r>
    </w:p>
    <w:p w14:paraId="11D1E0D4" w14:textId="77777777" w:rsidR="001B5A0B" w:rsidRPr="004649C7" w:rsidRDefault="001B5A0B" w:rsidP="001B5A0B">
      <w:pPr>
        <w:spacing w:after="120"/>
        <w:ind w:left="-567" w:right="-271" w:firstLine="567"/>
        <w:jc w:val="both"/>
        <w:rPr>
          <w:sz w:val="22"/>
          <w:szCs w:val="22"/>
          <w:lang w:val="es-AR"/>
        </w:rPr>
      </w:pPr>
      <w:r w:rsidRPr="004649C7">
        <w:rPr>
          <w:sz w:val="22"/>
          <w:szCs w:val="22"/>
          <w:lang w:val="es-AR"/>
        </w:rPr>
        <w:t xml:space="preserve">E. </w:t>
      </w:r>
      <w:r w:rsidRPr="004649C7">
        <w:rPr>
          <w:sz w:val="22"/>
          <w:szCs w:val="22"/>
          <w:u w:val="single"/>
          <w:lang w:val="es-AR"/>
        </w:rPr>
        <w:t>Declaración Jurada sobre el Origen de los Fondos</w:t>
      </w:r>
      <w:r w:rsidRPr="004649C7">
        <w:rPr>
          <w:sz w:val="22"/>
          <w:szCs w:val="22"/>
          <w:lang w:val="es-AR"/>
        </w:rPr>
        <w:t xml:space="preserve">: En cumplimiento de lo dispuesto por las normas de la UIF y las regulaciones argentinas de prevención de lavado de activos y financiación del terrorismo, incluyendo sin limitación, la Ley de Lavado de Activos, que declaro conocer, informo con carácter de DECLARACIÓN JURADA que los fondos utilizados por el solicitante para esta </w:t>
      </w:r>
      <w:r w:rsidRPr="004649C7">
        <w:rPr>
          <w:color w:val="000000"/>
          <w:sz w:val="22"/>
          <w:szCs w:val="22"/>
          <w:lang w:val="es-AR"/>
        </w:rPr>
        <w:t>Orden de Compra</w:t>
      </w:r>
      <w:r w:rsidRPr="004649C7">
        <w:rPr>
          <w:sz w:val="22"/>
          <w:szCs w:val="22"/>
          <w:lang w:val="es-AR"/>
        </w:rPr>
        <w:t xml:space="preserve"> dirigida al Colocador, provienen de actividades lícitas relacionadas con su actividad declarada. También en carácter de DECLARACIÓN JURADA, manifiesto que las informaciones consignadas en la presente para los registros del Colocador son exactas y verdaderas. El Oferente se obliga a entregar a los Colocadores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3BAAE468" w14:textId="77777777" w:rsidR="001B5A0B" w:rsidRPr="004649C7" w:rsidRDefault="001B5A0B" w:rsidP="001B5A0B">
      <w:pPr>
        <w:spacing w:after="120"/>
        <w:ind w:left="-567" w:right="-271" w:firstLine="567"/>
        <w:jc w:val="both"/>
        <w:rPr>
          <w:sz w:val="22"/>
          <w:szCs w:val="22"/>
          <w:lang w:val="es-AR"/>
        </w:rPr>
      </w:pPr>
      <w:r w:rsidRPr="004649C7">
        <w:rPr>
          <w:sz w:val="22"/>
          <w:szCs w:val="22"/>
          <w:lang w:val="es-AR"/>
        </w:rPr>
        <w:t>El Oferente manifiesta con carácter de declaración jurada que los valores y/o fondos que corresponden a la suscripción de las Obligaciones Negociables no provienen de países o territorios no considerados “cooperadores a los fines de la transparencia fiscal” a los que refiere la Ley de Impuesto a las Ganancias N° 20.628 y según lo establecido por el Decreto Reglamentario N° 862/2019 de dicha ley (conforme fuera modificado por el Decreto N° 48/2023), ni se encuentra radicado ni utiliza cuentas pertenecientes a entidades financieras radicadas en dichas jurisdicciones.</w:t>
      </w:r>
    </w:p>
    <w:p w14:paraId="260936E2" w14:textId="77777777" w:rsidR="001B5A0B" w:rsidRPr="004649C7" w:rsidRDefault="001B5A0B" w:rsidP="001B5A0B">
      <w:pPr>
        <w:spacing w:after="120"/>
        <w:ind w:left="-567" w:right="-271" w:firstLineChars="322" w:firstLine="708"/>
        <w:jc w:val="both"/>
        <w:rPr>
          <w:b/>
          <w:sz w:val="22"/>
          <w:szCs w:val="22"/>
          <w:lang w:val="es-AR"/>
        </w:rPr>
      </w:pPr>
      <w:r w:rsidRPr="004649C7">
        <w:rPr>
          <w:sz w:val="22"/>
          <w:szCs w:val="22"/>
          <w:lang w:val="es-AR"/>
        </w:rPr>
        <w:t xml:space="preserve">Asimismo, el Oferente toma conocimiento de que el Colocador se encuentra facultado a requerir toda la </w:t>
      </w:r>
      <w:r w:rsidRPr="004649C7">
        <w:rPr>
          <w:sz w:val="22"/>
          <w:szCs w:val="22"/>
          <w:lang w:val="es-AR"/>
        </w:rPr>
        <w:lastRenderedPageBreak/>
        <w:t xml:space="preserve">información necesaria para dar cumplimiento a las Normas, las normas del BCRA y demás que sean aplicables y relacionadas con la Ley N° 25.246, y modificatorias.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 </w:t>
      </w:r>
    </w:p>
    <w:p w14:paraId="4A8B526B" w14:textId="77777777" w:rsidR="001B5A0B" w:rsidRPr="004649C7" w:rsidRDefault="001B5A0B" w:rsidP="001B5A0B">
      <w:pPr>
        <w:pBdr>
          <w:top w:val="single" w:sz="4" w:space="1" w:color="auto"/>
          <w:left w:val="single" w:sz="4" w:space="0" w:color="auto"/>
          <w:bottom w:val="single" w:sz="4" w:space="1" w:color="auto"/>
          <w:right w:val="single" w:sz="4" w:space="0" w:color="auto"/>
        </w:pBdr>
        <w:spacing w:after="120"/>
        <w:ind w:left="-567" w:right="-210" w:firstLine="567"/>
        <w:jc w:val="both"/>
        <w:rPr>
          <w:b/>
          <w:sz w:val="22"/>
          <w:szCs w:val="22"/>
          <w:lang w:val="es-AR"/>
        </w:rPr>
      </w:pPr>
      <w:r w:rsidRPr="004649C7">
        <w:rPr>
          <w:sz w:val="22"/>
          <w:szCs w:val="22"/>
          <w:lang w:val="es-AR"/>
        </w:rPr>
        <w:t xml:space="preserve">Por último, en cumplimiento de lo dispuesto por las Resolución N° 35/2023 de la UIF, el Oferente manifiesta con carácter de declaración jurada que </w:t>
      </w:r>
      <w:r w:rsidRPr="004649C7">
        <w:rPr>
          <w:b/>
          <w:sz w:val="22"/>
          <w:szCs w:val="22"/>
          <w:lang w:val="es-AR"/>
        </w:rPr>
        <w:t xml:space="preserve">[SÍ] [NO] </w:t>
      </w:r>
      <w:r w:rsidRPr="004649C7">
        <w:rPr>
          <w:sz w:val="22"/>
          <w:szCs w:val="22"/>
          <w:lang w:val="es-AR"/>
        </w:rPr>
        <w:t>(tachar lo que no corresponda)</w:t>
      </w:r>
      <w:r w:rsidRPr="004649C7">
        <w:rPr>
          <w:b/>
          <w:sz w:val="22"/>
          <w:szCs w:val="22"/>
          <w:lang w:val="es-AR"/>
        </w:rPr>
        <w:t xml:space="preserve"> </w:t>
      </w:r>
      <w:r w:rsidRPr="004649C7">
        <w:rPr>
          <w:sz w:val="22"/>
          <w:szCs w:val="22"/>
          <w:lang w:val="es-AR"/>
        </w:rPr>
        <w:t>es una Persona Políticamente Expuesta, en los términos de dicha resolución y sus modificatorias.</w:t>
      </w:r>
    </w:p>
    <w:p w14:paraId="5DE5B64D" w14:textId="24A8538C" w:rsidR="001B5A0B" w:rsidRPr="004649C7" w:rsidRDefault="001B5A0B" w:rsidP="001B5A0B">
      <w:pPr>
        <w:widowControl/>
        <w:numPr>
          <w:ilvl w:val="0"/>
          <w:numId w:val="1"/>
        </w:numPr>
        <w:spacing w:after="120" w:line="259" w:lineRule="auto"/>
        <w:ind w:left="-567" w:right="-271" w:firstLine="567"/>
        <w:jc w:val="both"/>
        <w:rPr>
          <w:sz w:val="22"/>
          <w:szCs w:val="22"/>
          <w:lang w:val="es-AR"/>
        </w:rPr>
      </w:pPr>
      <w:r w:rsidRPr="004649C7">
        <w:rPr>
          <w:sz w:val="22"/>
          <w:szCs w:val="22"/>
          <w:u w:val="single"/>
          <w:lang w:val="es-AR"/>
        </w:rPr>
        <w:t>Disposiciones Adicionales</w:t>
      </w:r>
      <w:r w:rsidRPr="004649C7">
        <w:rPr>
          <w:sz w:val="22"/>
          <w:szCs w:val="22"/>
          <w:lang w:val="es-AR"/>
        </w:rPr>
        <w:t xml:space="preserve">: (a) Todos los impuestos, aranceles, cargas, gastos, comisiones, contribuciones y/o gravámenes de cualquier naturaleza que surjan de cualquier incumplimiento por parte del/los firmantes, estarán a su cargo y se reembolsará íntegramente a la Emisora o al Colocador en forma inmediata por cualquier monto que estos hubiesen debido pagar; (b) Esta </w:t>
      </w:r>
      <w:r w:rsidRPr="004649C7">
        <w:rPr>
          <w:color w:val="000000"/>
          <w:sz w:val="22"/>
          <w:szCs w:val="22"/>
          <w:lang w:val="es-AR"/>
        </w:rPr>
        <w:t>Orden de Compra</w:t>
      </w:r>
      <w:r w:rsidRPr="004649C7">
        <w:rPr>
          <w:sz w:val="22"/>
          <w:szCs w:val="22"/>
          <w:lang w:val="es-AR"/>
        </w:rPr>
        <w:t xml:space="preserve"> y los derechos y obligaciones emergentes de la misma, serán analizados, interpretados y juzgado por las leyes de la República Argentina. Todo conflicto relativo a esta </w:t>
      </w:r>
      <w:r w:rsidRPr="004649C7">
        <w:rPr>
          <w:color w:val="000000"/>
          <w:sz w:val="22"/>
          <w:szCs w:val="22"/>
          <w:lang w:val="es-AR"/>
        </w:rPr>
        <w:t>Orden de Compra</w:t>
      </w:r>
      <w:r w:rsidRPr="004649C7">
        <w:rPr>
          <w:sz w:val="22"/>
          <w:szCs w:val="22"/>
          <w:lang w:val="es-AR"/>
        </w:rPr>
        <w:t xml:space="preserve"> y los derechos y obligaciones emergentes de la misma, será resuelto en forma definitiva por los Tribunales Comerciales Ordinarios con asiento en la Ciudad Autónoma de Buenos Aires; (c) El Oferente autoriza al Colocador para que, por su cuenta y orden o representante que este considere adecuado, transfiera las Obligaciones Negociables, en caso de resultar adjudicadas, a la cuenta en CVSA informada precedentemente. Asimismo, el Oferente autoriza el pago, mediante débito de cualquiera de sus cuentas, de las correspondientes comisiones de custodia que en el futuro puedan originarse por las mencionadas las Obligaciones Negociables y (d) Por medio de la presente, el Oferente toma conocimiento de las siguientes fechas, que podrán ser modificadas por la Emisora, en cuyo caso será publicado el aviso respectivo en los Boletines Diarios de los Mercados y en la Página web de la CNV.</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103"/>
      </w:tblGrid>
      <w:tr w:rsidR="001B5A0B" w:rsidRPr="004649C7" w14:paraId="22C1E51C" w14:textId="77777777" w:rsidTr="002F1D3B">
        <w:trPr>
          <w:jc w:val="center"/>
        </w:trPr>
        <w:tc>
          <w:tcPr>
            <w:tcW w:w="4106" w:type="dxa"/>
            <w:tcBorders>
              <w:top w:val="single" w:sz="4" w:space="0" w:color="auto"/>
              <w:left w:val="single" w:sz="4" w:space="0" w:color="auto"/>
              <w:bottom w:val="single" w:sz="4" w:space="0" w:color="auto"/>
              <w:right w:val="single" w:sz="4" w:space="0" w:color="auto"/>
            </w:tcBorders>
            <w:hideMark/>
          </w:tcPr>
          <w:p w14:paraId="508F833C" w14:textId="77777777" w:rsidR="001B5A0B" w:rsidRPr="004649C7" w:rsidRDefault="001B5A0B" w:rsidP="002F1D3B">
            <w:pPr>
              <w:widowControl/>
              <w:spacing w:after="120"/>
              <w:ind w:left="-567" w:right="-271" w:firstLine="567"/>
              <w:jc w:val="both"/>
              <w:rPr>
                <w:sz w:val="22"/>
                <w:szCs w:val="22"/>
                <w:lang w:val="es-AR"/>
              </w:rPr>
            </w:pPr>
            <w:r w:rsidRPr="004649C7">
              <w:rPr>
                <w:b/>
                <w:sz w:val="22"/>
                <w:szCs w:val="22"/>
                <w:lang w:val="es-AR"/>
              </w:rPr>
              <w:t>Período de Difusión:</w:t>
            </w:r>
          </w:p>
        </w:tc>
        <w:tc>
          <w:tcPr>
            <w:tcW w:w="5103" w:type="dxa"/>
            <w:tcBorders>
              <w:top w:val="single" w:sz="4" w:space="0" w:color="auto"/>
              <w:left w:val="single" w:sz="4" w:space="0" w:color="auto"/>
              <w:bottom w:val="single" w:sz="4" w:space="0" w:color="auto"/>
              <w:right w:val="single" w:sz="4" w:space="0" w:color="auto"/>
            </w:tcBorders>
            <w:hideMark/>
          </w:tcPr>
          <w:p w14:paraId="2CAA77C7" w14:textId="203EDFAD" w:rsidR="001B5A0B" w:rsidRPr="004649C7" w:rsidRDefault="00DD03EF" w:rsidP="002F1D3B">
            <w:pPr>
              <w:widowControl/>
              <w:spacing w:after="120"/>
              <w:ind w:left="34" w:right="34"/>
              <w:jc w:val="both"/>
              <w:rPr>
                <w:sz w:val="22"/>
                <w:szCs w:val="22"/>
                <w:lang w:val="es-AR"/>
              </w:rPr>
            </w:pPr>
            <w:r>
              <w:rPr>
                <w:sz w:val="22"/>
                <w:szCs w:val="22"/>
                <w:lang w:val="es-AR"/>
              </w:rPr>
              <w:t>Será el día 8 de agosto</w:t>
            </w:r>
            <w:r w:rsidR="008B41E0">
              <w:rPr>
                <w:sz w:val="22"/>
                <w:szCs w:val="22"/>
                <w:lang w:val="es-AR"/>
              </w:rPr>
              <w:t xml:space="preserve"> de</w:t>
            </w:r>
            <w:r w:rsidR="00B40B70">
              <w:rPr>
                <w:sz w:val="22"/>
                <w:szCs w:val="22"/>
                <w:lang w:val="es-AR"/>
              </w:rPr>
              <w:t xml:space="preserve"> 202</w:t>
            </w:r>
            <w:r w:rsidR="00684323">
              <w:rPr>
                <w:sz w:val="22"/>
                <w:szCs w:val="22"/>
                <w:lang w:val="es-AR"/>
              </w:rPr>
              <w:t>5</w:t>
            </w:r>
            <w:r w:rsidR="00B40B70">
              <w:rPr>
                <w:sz w:val="22"/>
                <w:szCs w:val="22"/>
                <w:lang w:val="es-AR"/>
              </w:rPr>
              <w:t xml:space="preserve">. </w:t>
            </w:r>
          </w:p>
        </w:tc>
      </w:tr>
      <w:tr w:rsidR="001B5A0B" w:rsidRPr="004649C7" w14:paraId="4082D9CA" w14:textId="77777777" w:rsidTr="002F1D3B">
        <w:trPr>
          <w:jc w:val="center"/>
        </w:trPr>
        <w:tc>
          <w:tcPr>
            <w:tcW w:w="4106" w:type="dxa"/>
            <w:tcBorders>
              <w:top w:val="single" w:sz="4" w:space="0" w:color="auto"/>
              <w:left w:val="single" w:sz="4" w:space="0" w:color="auto"/>
              <w:bottom w:val="single" w:sz="4" w:space="0" w:color="auto"/>
              <w:right w:val="single" w:sz="4" w:space="0" w:color="auto"/>
            </w:tcBorders>
            <w:hideMark/>
          </w:tcPr>
          <w:p w14:paraId="037F3885" w14:textId="77777777" w:rsidR="001B5A0B" w:rsidRPr="004649C7" w:rsidRDefault="001B5A0B" w:rsidP="002F1D3B">
            <w:pPr>
              <w:widowControl/>
              <w:spacing w:after="120"/>
              <w:ind w:left="-567" w:right="-271" w:firstLine="567"/>
              <w:jc w:val="both"/>
              <w:rPr>
                <w:sz w:val="22"/>
                <w:szCs w:val="22"/>
                <w:lang w:val="es-AR"/>
              </w:rPr>
            </w:pPr>
            <w:r w:rsidRPr="004649C7">
              <w:rPr>
                <w:b/>
                <w:sz w:val="22"/>
                <w:szCs w:val="22"/>
                <w:lang w:val="es-AR"/>
              </w:rPr>
              <w:t>Período de Licitación:</w:t>
            </w:r>
          </w:p>
        </w:tc>
        <w:tc>
          <w:tcPr>
            <w:tcW w:w="5103" w:type="dxa"/>
            <w:tcBorders>
              <w:top w:val="single" w:sz="4" w:space="0" w:color="auto"/>
              <w:left w:val="single" w:sz="4" w:space="0" w:color="auto"/>
              <w:bottom w:val="single" w:sz="4" w:space="0" w:color="auto"/>
              <w:right w:val="single" w:sz="4" w:space="0" w:color="auto"/>
            </w:tcBorders>
            <w:hideMark/>
          </w:tcPr>
          <w:p w14:paraId="42A7F585" w14:textId="74A6D5D3" w:rsidR="001B5A0B" w:rsidRPr="004649C7" w:rsidRDefault="001B5A0B" w:rsidP="002F1D3B">
            <w:pPr>
              <w:widowControl/>
              <w:spacing w:after="120"/>
              <w:ind w:left="34" w:right="34"/>
              <w:jc w:val="both"/>
              <w:rPr>
                <w:sz w:val="22"/>
                <w:szCs w:val="22"/>
                <w:lang w:val="es-AR"/>
              </w:rPr>
            </w:pPr>
            <w:r w:rsidRPr="004649C7">
              <w:rPr>
                <w:sz w:val="22"/>
                <w:szCs w:val="22"/>
                <w:lang w:val="es-AR"/>
              </w:rPr>
              <w:t xml:space="preserve">Comenzará el </w:t>
            </w:r>
            <w:r w:rsidR="00DD03EF">
              <w:rPr>
                <w:sz w:val="22"/>
                <w:szCs w:val="22"/>
                <w:lang w:val="es-AR"/>
              </w:rPr>
              <w:t>11 de agosto</w:t>
            </w:r>
            <w:r w:rsidRPr="004649C7">
              <w:rPr>
                <w:sz w:val="22"/>
                <w:szCs w:val="22"/>
                <w:lang w:val="es-AR"/>
              </w:rPr>
              <w:t xml:space="preserve"> de 202</w:t>
            </w:r>
            <w:r w:rsidR="00684323">
              <w:rPr>
                <w:sz w:val="22"/>
                <w:szCs w:val="22"/>
                <w:lang w:val="es-AR"/>
              </w:rPr>
              <w:t>5</w:t>
            </w:r>
            <w:r w:rsidRPr="004649C7">
              <w:rPr>
                <w:sz w:val="22"/>
                <w:szCs w:val="22"/>
                <w:lang w:val="es-AR"/>
              </w:rPr>
              <w:t xml:space="preserve"> a las 10:00 horas y finalizará a las 16:00 horas del mismo día.</w:t>
            </w:r>
          </w:p>
        </w:tc>
      </w:tr>
      <w:tr w:rsidR="001B5A0B" w:rsidRPr="004649C7" w14:paraId="4E07F678" w14:textId="77777777" w:rsidTr="002F1D3B">
        <w:trPr>
          <w:trHeight w:val="426"/>
          <w:jc w:val="center"/>
        </w:trPr>
        <w:tc>
          <w:tcPr>
            <w:tcW w:w="4106" w:type="dxa"/>
            <w:tcBorders>
              <w:top w:val="single" w:sz="4" w:space="0" w:color="auto"/>
              <w:left w:val="single" w:sz="4" w:space="0" w:color="auto"/>
              <w:bottom w:val="single" w:sz="4" w:space="0" w:color="auto"/>
              <w:right w:val="single" w:sz="4" w:space="0" w:color="auto"/>
            </w:tcBorders>
            <w:hideMark/>
          </w:tcPr>
          <w:p w14:paraId="76E9F87D" w14:textId="77777777" w:rsidR="001B5A0B" w:rsidRPr="004649C7" w:rsidRDefault="001B5A0B" w:rsidP="002F1D3B">
            <w:pPr>
              <w:widowControl/>
              <w:spacing w:after="120"/>
              <w:ind w:left="-567" w:right="-271" w:firstLine="567"/>
              <w:jc w:val="both"/>
              <w:rPr>
                <w:sz w:val="22"/>
                <w:szCs w:val="22"/>
                <w:lang w:val="es-AR"/>
              </w:rPr>
            </w:pPr>
            <w:r w:rsidRPr="004649C7">
              <w:rPr>
                <w:b/>
                <w:sz w:val="22"/>
                <w:szCs w:val="22"/>
                <w:lang w:val="es-AR"/>
              </w:rPr>
              <w:t xml:space="preserve">Fecha de Emisión </w:t>
            </w:r>
            <w:r>
              <w:rPr>
                <w:b/>
                <w:sz w:val="22"/>
                <w:szCs w:val="22"/>
                <w:lang w:val="es-AR"/>
              </w:rPr>
              <w:t>y Liquidación</w:t>
            </w:r>
            <w:r w:rsidRPr="004649C7">
              <w:rPr>
                <w:b/>
                <w:sz w:val="22"/>
                <w:szCs w:val="22"/>
                <w:lang w:val="es-AR"/>
              </w:rPr>
              <w:t>:</w:t>
            </w:r>
          </w:p>
        </w:tc>
        <w:tc>
          <w:tcPr>
            <w:tcW w:w="5103" w:type="dxa"/>
            <w:tcBorders>
              <w:top w:val="single" w:sz="4" w:space="0" w:color="auto"/>
              <w:left w:val="single" w:sz="4" w:space="0" w:color="auto"/>
              <w:bottom w:val="single" w:sz="4" w:space="0" w:color="auto"/>
              <w:right w:val="single" w:sz="4" w:space="0" w:color="auto"/>
            </w:tcBorders>
            <w:hideMark/>
          </w:tcPr>
          <w:p w14:paraId="08EED903" w14:textId="438CD66C" w:rsidR="001B5A0B" w:rsidRPr="004649C7" w:rsidRDefault="001B5A0B" w:rsidP="002F1D3B">
            <w:pPr>
              <w:widowControl/>
              <w:spacing w:after="120"/>
              <w:ind w:left="-567" w:right="-271" w:firstLine="567"/>
              <w:jc w:val="both"/>
              <w:rPr>
                <w:sz w:val="22"/>
                <w:szCs w:val="22"/>
                <w:lang w:val="es-AR"/>
              </w:rPr>
            </w:pPr>
            <w:r w:rsidRPr="004649C7">
              <w:rPr>
                <w:sz w:val="22"/>
                <w:szCs w:val="22"/>
                <w:lang w:val="es-AR"/>
              </w:rPr>
              <w:t xml:space="preserve">Será el día </w:t>
            </w:r>
            <w:r w:rsidR="00DD03EF">
              <w:rPr>
                <w:sz w:val="22"/>
                <w:szCs w:val="22"/>
                <w:lang w:val="es-AR"/>
              </w:rPr>
              <w:t>13 de agosto</w:t>
            </w:r>
            <w:r w:rsidRPr="004649C7">
              <w:rPr>
                <w:sz w:val="22"/>
                <w:szCs w:val="22"/>
                <w:lang w:val="es-AR"/>
              </w:rPr>
              <w:t xml:space="preserve"> de 202</w:t>
            </w:r>
            <w:r w:rsidR="00684323">
              <w:rPr>
                <w:sz w:val="22"/>
                <w:szCs w:val="22"/>
                <w:lang w:val="es-AR"/>
              </w:rPr>
              <w:t>5</w:t>
            </w:r>
            <w:r w:rsidRPr="004649C7">
              <w:rPr>
                <w:sz w:val="22"/>
                <w:szCs w:val="22"/>
                <w:lang w:val="es-AR"/>
              </w:rPr>
              <w:t>.</w:t>
            </w:r>
          </w:p>
        </w:tc>
      </w:tr>
    </w:tbl>
    <w:p w14:paraId="22874425" w14:textId="77777777" w:rsidR="001B5A0B" w:rsidRPr="004649C7" w:rsidRDefault="001B5A0B" w:rsidP="001B5A0B">
      <w:pPr>
        <w:spacing w:after="120"/>
        <w:ind w:left="-567" w:right="-271" w:firstLine="567"/>
        <w:jc w:val="both"/>
        <w:rPr>
          <w:sz w:val="22"/>
          <w:szCs w:val="22"/>
          <w:lang w:val="es-AR"/>
        </w:rPr>
      </w:pPr>
    </w:p>
    <w:p w14:paraId="3A4DFE28" w14:textId="0EC33A61" w:rsidR="001B5A0B" w:rsidRPr="004649C7" w:rsidRDefault="001B5A0B" w:rsidP="001B5A0B">
      <w:pPr>
        <w:spacing w:after="120"/>
        <w:ind w:left="-567" w:right="-271" w:firstLine="567"/>
        <w:jc w:val="both"/>
        <w:rPr>
          <w:b/>
          <w:sz w:val="22"/>
          <w:szCs w:val="22"/>
          <w:u w:val="single"/>
          <w:lang w:val="es-AR"/>
        </w:rPr>
      </w:pPr>
      <w:r w:rsidRPr="004649C7">
        <w:rPr>
          <w:sz w:val="22"/>
          <w:szCs w:val="22"/>
          <w:lang w:val="es-AR"/>
        </w:rPr>
        <w:t xml:space="preserve">Presentación. La presente Orden de Compra deberá ser completada, firmada y presentada al Colocador en su oficina sita en </w:t>
      </w:r>
      <w:r w:rsidR="003C56F0">
        <w:rPr>
          <w:sz w:val="22"/>
          <w:szCs w:val="22"/>
          <w:lang w:val="es-AR"/>
        </w:rPr>
        <w:t xml:space="preserve">25 de mayo </w:t>
      </w:r>
      <w:r w:rsidR="00FF00E7">
        <w:rPr>
          <w:sz w:val="22"/>
          <w:szCs w:val="22"/>
          <w:lang w:val="es-AR"/>
        </w:rPr>
        <w:t>35</w:t>
      </w:r>
      <w:r w:rsidR="003C56F0">
        <w:rPr>
          <w:sz w:val="22"/>
          <w:szCs w:val="22"/>
          <w:lang w:val="es-AR"/>
        </w:rPr>
        <w:t>9, piso 12 CABA</w:t>
      </w:r>
      <w:r w:rsidR="003C56F0" w:rsidRPr="004649C7">
        <w:rPr>
          <w:sz w:val="22"/>
          <w:szCs w:val="22"/>
          <w:lang w:val="es-AR"/>
        </w:rPr>
        <w:t xml:space="preserve">, </w:t>
      </w:r>
      <w:r w:rsidRPr="004649C7">
        <w:rPr>
          <w:sz w:val="22"/>
          <w:szCs w:val="22"/>
          <w:lang w:val="es-AR"/>
        </w:rPr>
        <w:t xml:space="preserve">o bien en forma electrónica (conforme las lo expresamente indicado por el Colocador), hasta las 16:00 horas del </w:t>
      </w:r>
      <w:r w:rsidR="00DD03EF">
        <w:rPr>
          <w:sz w:val="22"/>
          <w:szCs w:val="22"/>
          <w:lang w:val="es-AR"/>
        </w:rPr>
        <w:t>11 de agosto</w:t>
      </w:r>
      <w:r w:rsidRPr="004649C7">
        <w:rPr>
          <w:sz w:val="22"/>
          <w:szCs w:val="22"/>
          <w:lang w:val="es-AR"/>
        </w:rPr>
        <w:t xml:space="preserve"> de 202</w:t>
      </w:r>
      <w:r w:rsidR="00684323">
        <w:rPr>
          <w:sz w:val="22"/>
          <w:szCs w:val="22"/>
          <w:lang w:val="es-AR"/>
        </w:rPr>
        <w:t>5</w:t>
      </w:r>
      <w:r w:rsidRPr="004649C7">
        <w:rPr>
          <w:sz w:val="22"/>
          <w:szCs w:val="22"/>
          <w:lang w:val="es-AR"/>
        </w:rPr>
        <w:t>. Pasado este horario, o no recibida la Orden de Compra por el Colocador, la misma no será aceptada.</w:t>
      </w:r>
    </w:p>
    <w:p w14:paraId="5D1C1FA5" w14:textId="77777777" w:rsidR="001B5A0B" w:rsidRPr="004649C7" w:rsidRDefault="001B5A0B" w:rsidP="001B5A0B">
      <w:pPr>
        <w:widowControl/>
        <w:numPr>
          <w:ilvl w:val="0"/>
          <w:numId w:val="1"/>
        </w:numPr>
        <w:tabs>
          <w:tab w:val="num" w:pos="0"/>
        </w:tabs>
        <w:spacing w:after="120" w:line="259" w:lineRule="auto"/>
        <w:ind w:left="-567" w:right="-271" w:firstLine="567"/>
        <w:jc w:val="both"/>
        <w:rPr>
          <w:sz w:val="22"/>
          <w:szCs w:val="22"/>
          <w:lang w:val="es-AR"/>
        </w:rPr>
      </w:pPr>
      <w:r w:rsidRPr="004649C7">
        <w:rPr>
          <w:sz w:val="22"/>
          <w:szCs w:val="22"/>
          <w:lang w:val="es-AR"/>
        </w:rPr>
        <w:t xml:space="preserve">Finalmente, el Oferente reconoce que el Colocador se reserva el derecho de no aceptar las manifestaciones de interés que no cumplan con todos los requisitos establecidos ni con las normativas aplicables en materia de prevención de lavado de activos y financiación del terrorismo establecidas en la Ley de Prevención de Lavado de Activos y Financiación del Terrorismo. </w:t>
      </w:r>
    </w:p>
    <w:p w14:paraId="1AF6D1FD" w14:textId="67FC94B4" w:rsidR="001B5A0B" w:rsidRPr="004649C7" w:rsidRDefault="001B5A0B" w:rsidP="001B5A0B">
      <w:pPr>
        <w:widowControl/>
        <w:spacing w:after="120"/>
        <w:ind w:left="-567" w:right="-271" w:firstLine="567"/>
        <w:jc w:val="both"/>
        <w:rPr>
          <w:sz w:val="22"/>
          <w:szCs w:val="22"/>
          <w:lang w:val="es-AR"/>
        </w:rPr>
      </w:pPr>
      <w:r w:rsidRPr="004649C7">
        <w:rPr>
          <w:sz w:val="22"/>
          <w:szCs w:val="22"/>
          <w:lang w:val="es-AR"/>
        </w:rPr>
        <w:t xml:space="preserve">Adicionalmente, el Oferente reconoce y acepta de conformidad que, ante un requerimiento fehaciente enviado por la CNV y/o del BCRA y/o de la UIF y/u otro organismo con facultades suficientes a la Emisora y/o al Colocador, solicitando mi/ nuestro legajo y la información correspondiente a la presente Orden de Compra, como así también información respaldatoria, documental, crediticia y datos personales (en los términos de la Ley N° 25.326) que sea trasladado en forma fehaciente al Colocador, según sea el caso, éste entregará a la Emisora o directamente al organismos que corresponda, copia simple de la información que el organismo pertinente hubiera solicitado. </w:t>
      </w:r>
      <w:r w:rsidR="00FF00E7" w:rsidRPr="004649C7">
        <w:rPr>
          <w:sz w:val="22"/>
          <w:szCs w:val="22"/>
          <w:lang w:val="es-AR"/>
        </w:rPr>
        <w:t>Asimismo,</w:t>
      </w:r>
      <w:r w:rsidRPr="004649C7">
        <w:rPr>
          <w:sz w:val="22"/>
          <w:szCs w:val="22"/>
          <w:lang w:val="es-AR"/>
        </w:rPr>
        <w:t xml:space="preserve"> acepto que la información, datos personales y copia de mi legajo como Cliente del Colocador puedan ser compartidos y tengan copia/acceso a los mismos las empresas del Grupo Económico/Empresas Vinculadas al que el Colocador pertenecen, motivo por el cual renuncio/amos a efectuar cualquier reclamo de cualquier naturaleza con causa en, o derivada de, la información y/o documentación entregada en tales circunstancias.</w:t>
      </w:r>
    </w:p>
    <w:p w14:paraId="09E2909C" w14:textId="77777777" w:rsidR="001B5A0B" w:rsidRPr="004649C7" w:rsidRDefault="001B5A0B" w:rsidP="001B5A0B">
      <w:pPr>
        <w:widowControl/>
        <w:spacing w:after="120"/>
        <w:ind w:left="-567" w:right="-271" w:firstLine="567"/>
        <w:jc w:val="both"/>
        <w:rPr>
          <w:sz w:val="22"/>
          <w:szCs w:val="22"/>
          <w:lang w:val="es-AR"/>
        </w:rPr>
      </w:pPr>
    </w:p>
    <w:p w14:paraId="53D25EE7" w14:textId="77777777" w:rsidR="001B5A0B" w:rsidRPr="004649C7" w:rsidRDefault="001B5A0B" w:rsidP="001B5A0B">
      <w:pPr>
        <w:autoSpaceDE w:val="0"/>
        <w:autoSpaceDN w:val="0"/>
        <w:adjustRightInd w:val="0"/>
        <w:spacing w:after="120"/>
        <w:ind w:left="-567" w:right="-271" w:firstLine="567"/>
        <w:jc w:val="both"/>
        <w:rPr>
          <w:sz w:val="22"/>
          <w:szCs w:val="22"/>
          <w:u w:val="single"/>
          <w:lang w:val="es-AR"/>
        </w:rPr>
      </w:pPr>
      <w:r w:rsidRPr="004649C7">
        <w:rPr>
          <w:sz w:val="22"/>
          <w:szCs w:val="22"/>
          <w:lang w:val="es-AR"/>
        </w:rPr>
        <w:t xml:space="preserve">F. </w:t>
      </w:r>
      <w:r w:rsidRPr="004649C7">
        <w:rPr>
          <w:sz w:val="22"/>
          <w:szCs w:val="22"/>
          <w:lang w:val="es-AR"/>
        </w:rPr>
        <w:tab/>
      </w:r>
      <w:r w:rsidRPr="004649C7">
        <w:rPr>
          <w:sz w:val="22"/>
          <w:szCs w:val="22"/>
          <w:u w:val="single"/>
          <w:lang w:val="es-AR"/>
        </w:rPr>
        <w:t>Responsabilidad</w:t>
      </w:r>
    </w:p>
    <w:p w14:paraId="488FA087" w14:textId="77777777" w:rsidR="001B5A0B" w:rsidRPr="004649C7" w:rsidRDefault="001B5A0B" w:rsidP="001B5A0B">
      <w:pPr>
        <w:autoSpaceDE w:val="0"/>
        <w:autoSpaceDN w:val="0"/>
        <w:adjustRightInd w:val="0"/>
        <w:spacing w:after="120"/>
        <w:ind w:left="-567" w:right="-271" w:firstLineChars="322" w:firstLine="708"/>
        <w:jc w:val="both"/>
        <w:rPr>
          <w:sz w:val="22"/>
          <w:szCs w:val="22"/>
          <w:lang w:val="es-AR"/>
        </w:rPr>
      </w:pPr>
      <w:r w:rsidRPr="004649C7">
        <w:rPr>
          <w:sz w:val="22"/>
          <w:szCs w:val="22"/>
          <w:lang w:val="es-AR"/>
        </w:rPr>
        <w:lastRenderedPageBreak/>
        <w:t>Con excepción de lo dispuesto en el Art. 119 de la Ley N° 26.831 (“</w:t>
      </w:r>
      <w:r w:rsidRPr="004649C7">
        <w:rPr>
          <w:sz w:val="22"/>
          <w:szCs w:val="22"/>
          <w:u w:val="single"/>
          <w:lang w:val="es-AR"/>
        </w:rPr>
        <w:t>Ley de Mercado de Capitales</w:t>
      </w:r>
      <w:r w:rsidRPr="004649C7">
        <w:rPr>
          <w:sz w:val="22"/>
          <w:szCs w:val="22"/>
          <w:lang w:val="es-AR"/>
        </w:rPr>
        <w:t xml:space="preserve">”),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490E485D" w14:textId="77777777" w:rsidR="001B5A0B" w:rsidRPr="004649C7" w:rsidRDefault="001B5A0B" w:rsidP="001B5A0B">
      <w:pPr>
        <w:autoSpaceDE w:val="0"/>
        <w:autoSpaceDN w:val="0"/>
        <w:adjustRightInd w:val="0"/>
        <w:spacing w:after="120"/>
        <w:ind w:left="-567" w:right="-271" w:firstLineChars="322" w:firstLine="708"/>
        <w:jc w:val="both"/>
        <w:rPr>
          <w:sz w:val="22"/>
          <w:szCs w:val="22"/>
          <w:lang w:val="es-AR"/>
        </w:rPr>
      </w:pPr>
      <w:r w:rsidRPr="004649C7">
        <w:rPr>
          <w:sz w:val="22"/>
          <w:szCs w:val="22"/>
          <w:lang w:val="es-AR"/>
        </w:rPr>
        <w:t>En particular, el Colocador no responderá ante el Oferente</w:t>
      </w:r>
      <w:r w:rsidRPr="004649C7" w:rsidDel="000634A8">
        <w:rPr>
          <w:sz w:val="22"/>
          <w:szCs w:val="22"/>
          <w:lang w:val="es-AR"/>
        </w:rPr>
        <w:t xml:space="preserve"> </w:t>
      </w:r>
      <w:r w:rsidRPr="004649C7">
        <w:rPr>
          <w:sz w:val="22"/>
          <w:szCs w:val="22"/>
          <w:lang w:val="es-AR"/>
        </w:rPr>
        <w:t>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43FAF226" w14:textId="77777777" w:rsidR="001B5A0B" w:rsidRPr="004649C7" w:rsidRDefault="001B5A0B" w:rsidP="001B5A0B">
      <w:pPr>
        <w:autoSpaceDE w:val="0"/>
        <w:autoSpaceDN w:val="0"/>
        <w:adjustRightInd w:val="0"/>
        <w:spacing w:after="120"/>
        <w:ind w:left="-567" w:right="-271" w:firstLine="567"/>
        <w:jc w:val="both"/>
        <w:rPr>
          <w:sz w:val="22"/>
          <w:szCs w:val="22"/>
          <w:lang w:val="es-AR"/>
        </w:rPr>
      </w:pPr>
      <w:r w:rsidRPr="004649C7">
        <w:rPr>
          <w:sz w:val="22"/>
          <w:szCs w:val="22"/>
          <w:lang w:val="es-AR"/>
        </w:rPr>
        <w:t>Las Obligaciones Negociables no cuentan con un mercado secundario asegurado. Por ello, el Colocador no puede brindar garantías ni responderá acerca de la liquidez ni de la existencia de un mercado secundario en relación a dichas Obligaciones Negociables.</w:t>
      </w:r>
    </w:p>
    <w:p w14:paraId="0D2877E5" w14:textId="77777777" w:rsidR="001B5A0B" w:rsidRPr="004649C7" w:rsidRDefault="001B5A0B" w:rsidP="001B5A0B">
      <w:pPr>
        <w:widowControl/>
        <w:spacing w:after="160" w:line="259" w:lineRule="auto"/>
        <w:ind w:left="-567" w:firstLine="567"/>
        <w:rPr>
          <w:sz w:val="22"/>
          <w:szCs w:val="22"/>
          <w:lang w:val="es-AR"/>
        </w:rPr>
      </w:pPr>
      <w:r w:rsidRPr="004649C7">
        <w:rPr>
          <w:sz w:val="22"/>
          <w:szCs w:val="22"/>
          <w:lang w:val="es-AR"/>
        </w:rPr>
        <w:t>Sin otro particular, saludamos a Uds. muy atentamente.</w:t>
      </w:r>
    </w:p>
    <w:p w14:paraId="648C48BB" w14:textId="77777777" w:rsidR="001B5A0B" w:rsidRPr="004649C7" w:rsidRDefault="001B5A0B" w:rsidP="001B5A0B">
      <w:pPr>
        <w:widowControl/>
        <w:spacing w:after="160" w:line="259" w:lineRule="auto"/>
        <w:ind w:left="-567" w:firstLine="567"/>
        <w:rPr>
          <w:sz w:val="22"/>
          <w:szCs w:val="22"/>
          <w:lang w:val="es-AR"/>
        </w:rPr>
      </w:pPr>
    </w:p>
    <w:p w14:paraId="74CF2524" w14:textId="77777777" w:rsidR="001B5A0B" w:rsidRPr="004649C7" w:rsidRDefault="001B5A0B" w:rsidP="001B5A0B">
      <w:pPr>
        <w:spacing w:after="120"/>
        <w:ind w:left="-567" w:right="-285"/>
        <w:rPr>
          <w:szCs w:val="24"/>
          <w:lang w:val="es-AR"/>
        </w:rPr>
      </w:pPr>
      <w:r w:rsidRPr="004649C7">
        <w:rPr>
          <w:szCs w:val="24"/>
          <w:lang w:val="es-AR"/>
        </w:rPr>
        <w:t>______________________</w:t>
      </w:r>
    </w:p>
    <w:p w14:paraId="49D0D5E8" w14:textId="77777777" w:rsidR="001B5A0B" w:rsidRPr="004649C7" w:rsidRDefault="001B5A0B" w:rsidP="001B5A0B">
      <w:pPr>
        <w:spacing w:after="120"/>
        <w:ind w:left="-567" w:right="-141"/>
        <w:rPr>
          <w:szCs w:val="24"/>
          <w:lang w:val="es-AR"/>
        </w:rPr>
      </w:pPr>
      <w:r w:rsidRPr="004649C7">
        <w:rPr>
          <w:szCs w:val="24"/>
          <w:lang w:val="es-AR"/>
        </w:rPr>
        <w:t>Firma/s</w:t>
      </w:r>
    </w:p>
    <w:p w14:paraId="6BAAFA9F" w14:textId="77777777" w:rsidR="001B5A0B" w:rsidRPr="005756F0" w:rsidRDefault="001B5A0B" w:rsidP="001B5A0B">
      <w:pPr>
        <w:spacing w:after="120"/>
        <w:ind w:right="-285" w:firstLine="708"/>
        <w:jc w:val="both"/>
        <w:rPr>
          <w:szCs w:val="24"/>
          <w:highlight w:val="yellow"/>
          <w:lang w:val="es-AR"/>
        </w:rPr>
      </w:pPr>
      <w:r w:rsidRPr="004649C7">
        <w:rPr>
          <w:sz w:val="20"/>
          <w:lang w:val="es-AR"/>
        </w:rPr>
        <w:t>[Nombre/s y Apellido/s del/de los Suscriptor/es “personas físicas” / Razón Social del Suscriptor “persona jurídica” y Nombre y Sello del Representante Legal o Apoderado/s Firmante/s. Cargo. Domicilio. Teléfono. DNI.]</w:t>
      </w:r>
    </w:p>
    <w:p w14:paraId="06C81A8F" w14:textId="77777777" w:rsidR="008E0D3C" w:rsidRDefault="008E0D3C"/>
    <w:sectPr w:rsidR="008E0D3C" w:rsidSect="001B5A0B">
      <w:headerReference w:type="default" r:id="rId9"/>
      <w:footerReference w:type="even" r:id="rId10"/>
      <w:footerReference w:type="default" r:id="rId11"/>
      <w:footerReference w:type="first" r:id="rId12"/>
      <w:pgSz w:w="11907" w:h="16840" w:code="9"/>
      <w:pgMar w:top="1418" w:right="1418" w:bottom="1418" w:left="1418" w:header="720" w:footer="72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D1172" w14:textId="77777777" w:rsidR="000F06BC" w:rsidRDefault="000F06BC">
      <w:r>
        <w:separator/>
      </w:r>
    </w:p>
  </w:endnote>
  <w:endnote w:type="continuationSeparator" w:id="0">
    <w:p w14:paraId="7CA669EF" w14:textId="77777777" w:rsidR="000F06BC" w:rsidRDefault="000F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dm_foot_text3"/>
  <w:p w14:paraId="1251A7B1" w14:textId="77777777" w:rsidR="00B476A2" w:rsidRDefault="00B476A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9AF436" w14:textId="77777777" w:rsidR="00B476A2" w:rsidRDefault="00B476A2">
    <w:pPr>
      <w:pStyle w:val="Piedepgina"/>
      <w:ind w:right="360"/>
      <w:rPr>
        <w:sz w:val="16"/>
      </w:rPr>
    </w:pPr>
  </w:p>
  <w:p w14:paraId="10979D54" w14:textId="77777777" w:rsidR="00B476A2" w:rsidRDefault="00B476A2">
    <w:pPr>
      <w:pStyle w:val="Piedepgina"/>
    </w:pPr>
    <w:bookmarkStart w:id="1" w:name="dm_foot_text1"/>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B542" w14:textId="77777777" w:rsidR="00B476A2" w:rsidRDefault="00B476A2">
    <w:pPr>
      <w:pStyle w:val="Piedepgina"/>
      <w:jc w:val="center"/>
    </w:pPr>
    <w:r>
      <w:fldChar w:fldCharType="begin"/>
    </w:r>
    <w:r>
      <w:instrText>PAGE   \* MERGEFORMAT</w:instrText>
    </w:r>
    <w:r>
      <w:fldChar w:fldCharType="separate"/>
    </w:r>
    <w:r>
      <w:rPr>
        <w:noProof/>
      </w:rPr>
      <w:t>1</w:t>
    </w:r>
    <w:r>
      <w:rPr>
        <w:noProof/>
      </w:rPr>
      <w:fldChar w:fldCharType="end"/>
    </w:r>
  </w:p>
  <w:p w14:paraId="1BA2742E" w14:textId="77777777" w:rsidR="00B476A2" w:rsidRDefault="00B476A2">
    <w:pPr>
      <w:pStyle w:val="Piedepgina"/>
      <w:widowControl/>
      <w:tabs>
        <w:tab w:val="clear" w:pos="4419"/>
        <w:tab w:val="clear" w:pos="8838"/>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AF80" w14:textId="77777777" w:rsidR="00B476A2" w:rsidRDefault="00B476A2">
    <w:pPr>
      <w:pStyle w:val="Piedepgina"/>
      <w:rPr>
        <w:sz w:val="16"/>
      </w:rPr>
    </w:pPr>
  </w:p>
  <w:p w14:paraId="515B80E3" w14:textId="77777777" w:rsidR="00B476A2" w:rsidRDefault="00B476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231FD" w14:textId="77777777" w:rsidR="000F06BC" w:rsidRDefault="000F06BC">
      <w:r>
        <w:separator/>
      </w:r>
    </w:p>
  </w:footnote>
  <w:footnote w:type="continuationSeparator" w:id="0">
    <w:p w14:paraId="2154A84B" w14:textId="77777777" w:rsidR="000F06BC" w:rsidRDefault="000F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69A5" w14:textId="77777777" w:rsidR="00B476A2" w:rsidRDefault="00B476A2">
    <w:pPr>
      <w:pStyle w:val="Encabezado"/>
      <w:tabs>
        <w:tab w:val="clear" w:pos="4419"/>
        <w:tab w:val="clear" w:pos="8838"/>
      </w:tabs>
      <w:jc w:val="right"/>
      <w:rPr>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1779"/>
    <w:multiLevelType w:val="hybridMultilevel"/>
    <w:tmpl w:val="F22E6F9A"/>
    <w:lvl w:ilvl="0" w:tplc="FA645A7E">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617377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25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0B"/>
    <w:rsid w:val="00003493"/>
    <w:rsid w:val="00022EB6"/>
    <w:rsid w:val="0008769E"/>
    <w:rsid w:val="000F06BC"/>
    <w:rsid w:val="001015A7"/>
    <w:rsid w:val="00113EAA"/>
    <w:rsid w:val="00154499"/>
    <w:rsid w:val="001839B7"/>
    <w:rsid w:val="001B5A0B"/>
    <w:rsid w:val="001D12AD"/>
    <w:rsid w:val="001D69DC"/>
    <w:rsid w:val="00283B4E"/>
    <w:rsid w:val="00294197"/>
    <w:rsid w:val="003112F9"/>
    <w:rsid w:val="00384D40"/>
    <w:rsid w:val="00397DB0"/>
    <w:rsid w:val="003C56F0"/>
    <w:rsid w:val="003D0AB9"/>
    <w:rsid w:val="003E4FBF"/>
    <w:rsid w:val="00470A3E"/>
    <w:rsid w:val="004B751C"/>
    <w:rsid w:val="004B7CA6"/>
    <w:rsid w:val="005127A9"/>
    <w:rsid w:val="00515733"/>
    <w:rsid w:val="00606702"/>
    <w:rsid w:val="00611383"/>
    <w:rsid w:val="006454F5"/>
    <w:rsid w:val="006529E6"/>
    <w:rsid w:val="0067188E"/>
    <w:rsid w:val="00683BCF"/>
    <w:rsid w:val="00684323"/>
    <w:rsid w:val="0069336E"/>
    <w:rsid w:val="006944C9"/>
    <w:rsid w:val="00755CB8"/>
    <w:rsid w:val="007920E3"/>
    <w:rsid w:val="00836350"/>
    <w:rsid w:val="00850697"/>
    <w:rsid w:val="00857DEC"/>
    <w:rsid w:val="00897FF0"/>
    <w:rsid w:val="008B41E0"/>
    <w:rsid w:val="008E0D3C"/>
    <w:rsid w:val="008E2959"/>
    <w:rsid w:val="008F1A63"/>
    <w:rsid w:val="00926082"/>
    <w:rsid w:val="00981F1B"/>
    <w:rsid w:val="009C44A9"/>
    <w:rsid w:val="00A03B7F"/>
    <w:rsid w:val="00A11144"/>
    <w:rsid w:val="00A326F2"/>
    <w:rsid w:val="00A91A5E"/>
    <w:rsid w:val="00AB569A"/>
    <w:rsid w:val="00B17537"/>
    <w:rsid w:val="00B40B70"/>
    <w:rsid w:val="00B476A2"/>
    <w:rsid w:val="00C7099F"/>
    <w:rsid w:val="00C87052"/>
    <w:rsid w:val="00CC559C"/>
    <w:rsid w:val="00D017DC"/>
    <w:rsid w:val="00DA441B"/>
    <w:rsid w:val="00DC6143"/>
    <w:rsid w:val="00DD03EF"/>
    <w:rsid w:val="00DD71FB"/>
    <w:rsid w:val="00E22965"/>
    <w:rsid w:val="00E24FDB"/>
    <w:rsid w:val="00E57764"/>
    <w:rsid w:val="00EE0A91"/>
    <w:rsid w:val="00EE45E7"/>
    <w:rsid w:val="00F5179C"/>
    <w:rsid w:val="00FC755F"/>
    <w:rsid w:val="00FF00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D591"/>
  <w15:chartTrackingRefBased/>
  <w15:docId w15:val="{7BA7B59B-C6FF-455E-935C-2A84E74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0B"/>
    <w:pPr>
      <w:widowControl w:val="0"/>
      <w:spacing w:after="0" w:line="240" w:lineRule="auto"/>
    </w:pPr>
    <w:rPr>
      <w:rFonts w:ascii="Times New Roman" w:eastAsia="Times New Roman" w:hAnsi="Times New Roman" w:cs="Times New Roman"/>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5A0B"/>
    <w:pPr>
      <w:tabs>
        <w:tab w:val="center" w:pos="4419"/>
        <w:tab w:val="right" w:pos="8838"/>
      </w:tabs>
    </w:pPr>
    <w:rPr>
      <w:rFonts w:eastAsia="Calibri"/>
      <w:sz w:val="20"/>
    </w:rPr>
  </w:style>
  <w:style w:type="character" w:customStyle="1" w:styleId="EncabezadoCar">
    <w:name w:val="Encabezado Car"/>
    <w:basedOn w:val="Fuentedeprrafopredeter"/>
    <w:link w:val="Encabezado"/>
    <w:uiPriority w:val="99"/>
    <w:rsid w:val="001B5A0B"/>
    <w:rPr>
      <w:rFonts w:ascii="Times New Roman" w:eastAsia="Calibri" w:hAnsi="Times New Roman" w:cs="Times New Roman"/>
      <w:kern w:val="0"/>
      <w:sz w:val="20"/>
      <w:szCs w:val="20"/>
      <w:lang w:val="es-ES" w:eastAsia="es-ES"/>
      <w14:ligatures w14:val="none"/>
    </w:rPr>
  </w:style>
  <w:style w:type="paragraph" w:styleId="Piedepgina">
    <w:name w:val="footer"/>
    <w:basedOn w:val="Normal"/>
    <w:link w:val="PiedepginaCar"/>
    <w:uiPriority w:val="99"/>
    <w:rsid w:val="001B5A0B"/>
    <w:pPr>
      <w:tabs>
        <w:tab w:val="center" w:pos="4419"/>
        <w:tab w:val="right" w:pos="8838"/>
      </w:tabs>
    </w:pPr>
    <w:rPr>
      <w:rFonts w:eastAsia="Calibri"/>
      <w:sz w:val="20"/>
    </w:rPr>
  </w:style>
  <w:style w:type="character" w:customStyle="1" w:styleId="PiedepginaCar">
    <w:name w:val="Pie de página Car"/>
    <w:basedOn w:val="Fuentedeprrafopredeter"/>
    <w:link w:val="Piedepgina"/>
    <w:uiPriority w:val="99"/>
    <w:rsid w:val="001B5A0B"/>
    <w:rPr>
      <w:rFonts w:ascii="Times New Roman" w:eastAsia="Calibri" w:hAnsi="Times New Roman" w:cs="Times New Roman"/>
      <w:kern w:val="0"/>
      <w:sz w:val="20"/>
      <w:szCs w:val="20"/>
      <w:lang w:val="es-ES" w:eastAsia="es-ES"/>
      <w14:ligatures w14:val="none"/>
    </w:rPr>
  </w:style>
  <w:style w:type="paragraph" w:styleId="Textoindependiente">
    <w:name w:val="Body Text"/>
    <w:basedOn w:val="Normal"/>
    <w:link w:val="TextoindependienteCar"/>
    <w:uiPriority w:val="99"/>
    <w:rsid w:val="001B5A0B"/>
    <w:rPr>
      <w:rFonts w:eastAsia="Calibri"/>
      <w:sz w:val="20"/>
    </w:rPr>
  </w:style>
  <w:style w:type="character" w:customStyle="1" w:styleId="TextoindependienteCar">
    <w:name w:val="Texto independiente Car"/>
    <w:basedOn w:val="Fuentedeprrafopredeter"/>
    <w:link w:val="Textoindependiente"/>
    <w:uiPriority w:val="99"/>
    <w:rsid w:val="001B5A0B"/>
    <w:rPr>
      <w:rFonts w:ascii="Times New Roman" w:eastAsia="Calibri" w:hAnsi="Times New Roman" w:cs="Times New Roman"/>
      <w:kern w:val="0"/>
      <w:sz w:val="20"/>
      <w:szCs w:val="20"/>
      <w:lang w:val="es-ES" w:eastAsia="es-ES"/>
      <w14:ligatures w14:val="none"/>
    </w:rPr>
  </w:style>
  <w:style w:type="character" w:styleId="Nmerodepgina">
    <w:name w:val="page number"/>
    <w:uiPriority w:val="99"/>
    <w:rsid w:val="001B5A0B"/>
    <w:rPr>
      <w:rFonts w:cs="Times New Roman"/>
      <w:sz w:val="20"/>
    </w:rPr>
  </w:style>
  <w:style w:type="character" w:styleId="Refdecomentario">
    <w:name w:val="annotation reference"/>
    <w:uiPriority w:val="99"/>
    <w:semiHidden/>
    <w:rsid w:val="001B5A0B"/>
    <w:rPr>
      <w:rFonts w:cs="Times New Roman"/>
      <w:sz w:val="16"/>
    </w:rPr>
  </w:style>
  <w:style w:type="paragraph" w:styleId="Textocomentario">
    <w:name w:val="annotation text"/>
    <w:basedOn w:val="Normal"/>
    <w:link w:val="TextocomentarioCar"/>
    <w:uiPriority w:val="99"/>
    <w:semiHidden/>
    <w:rsid w:val="001B5A0B"/>
    <w:rPr>
      <w:rFonts w:eastAsia="Calibri"/>
      <w:sz w:val="20"/>
    </w:rPr>
  </w:style>
  <w:style w:type="character" w:customStyle="1" w:styleId="TextocomentarioCar">
    <w:name w:val="Texto comentario Car"/>
    <w:basedOn w:val="Fuentedeprrafopredeter"/>
    <w:link w:val="Textocomentario"/>
    <w:uiPriority w:val="99"/>
    <w:semiHidden/>
    <w:rsid w:val="001B5A0B"/>
    <w:rPr>
      <w:rFonts w:ascii="Times New Roman" w:eastAsia="Calibri" w:hAnsi="Times New Roman" w:cs="Times New Roman"/>
      <w:kern w:val="0"/>
      <w:sz w:val="20"/>
      <w:szCs w:val="20"/>
      <w:lang w:val="es-ES" w:eastAsia="es-ES"/>
      <w14:ligatures w14:val="none"/>
    </w:rPr>
  </w:style>
  <w:style w:type="table" w:customStyle="1" w:styleId="TableNormal">
    <w:name w:val="Table Normal"/>
    <w:uiPriority w:val="2"/>
    <w:semiHidden/>
    <w:unhideWhenUsed/>
    <w:qFormat/>
    <w:rsid w:val="001B5A0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uiPriority w:val="99"/>
    <w:rsid w:val="001B5A0B"/>
    <w:pPr>
      <w:autoSpaceDE w:val="0"/>
      <w:autoSpaceDN w:val="0"/>
      <w:adjustRightInd w:val="0"/>
      <w:spacing w:after="0" w:line="240" w:lineRule="auto"/>
    </w:pPr>
    <w:rPr>
      <w:rFonts w:ascii="Times New Roman" w:eastAsia="Times New Roman" w:hAnsi="Times New Roman" w:cs="Times New Roman"/>
      <w:color w:val="000000"/>
      <w:kern w:val="0"/>
      <w:sz w:val="24"/>
      <w:szCs w:val="24"/>
      <w:lang w:val="es-ES" w:eastAsia="es-ES"/>
      <w14:ligatures w14:val="none"/>
    </w:rPr>
  </w:style>
  <w:style w:type="paragraph" w:styleId="Revisin">
    <w:name w:val="Revision"/>
    <w:hidden/>
    <w:uiPriority w:val="99"/>
    <w:semiHidden/>
    <w:rsid w:val="00283B4E"/>
    <w:pPr>
      <w:spacing w:after="0" w:line="240" w:lineRule="auto"/>
    </w:pPr>
    <w:rPr>
      <w:rFonts w:ascii="Times New Roman" w:eastAsia="Times New Roman" w:hAnsi="Times New Roman" w:cs="Times New Roman"/>
      <w:kern w:val="0"/>
      <w:sz w:val="24"/>
      <w:szCs w:val="20"/>
      <w:lang w:val="es-ES" w:eastAsia="es-ES"/>
      <w14:ligatures w14:val="none"/>
    </w:rPr>
  </w:style>
  <w:style w:type="paragraph" w:styleId="Prrafodelista">
    <w:name w:val="List Paragraph"/>
    <w:basedOn w:val="Normal"/>
    <w:uiPriority w:val="34"/>
    <w:qFormat/>
    <w:rsid w:val="00283B4E"/>
    <w:pPr>
      <w:ind w:left="720"/>
      <w:contextualSpacing/>
    </w:pPr>
  </w:style>
  <w:style w:type="paragraph" w:styleId="Asuntodelcomentario">
    <w:name w:val="annotation subject"/>
    <w:basedOn w:val="Textocomentario"/>
    <w:next w:val="Textocomentario"/>
    <w:link w:val="AsuntodelcomentarioCar"/>
    <w:uiPriority w:val="99"/>
    <w:semiHidden/>
    <w:unhideWhenUsed/>
    <w:rsid w:val="00DA441B"/>
    <w:rPr>
      <w:rFonts w:eastAsia="Times New Roman"/>
      <w:b/>
      <w:bCs/>
    </w:rPr>
  </w:style>
  <w:style w:type="character" w:customStyle="1" w:styleId="AsuntodelcomentarioCar">
    <w:name w:val="Asunto del comentario Car"/>
    <w:basedOn w:val="TextocomentarioCar"/>
    <w:link w:val="Asuntodelcomentario"/>
    <w:uiPriority w:val="99"/>
    <w:semiHidden/>
    <w:rsid w:val="00DA441B"/>
    <w:rPr>
      <w:rFonts w:ascii="Times New Roman" w:eastAsia="Times New Roman" w:hAnsi="Times New Roman" w:cs="Times New Roman"/>
      <w:b/>
      <w:bC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cn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7B92-B5C9-4DD9-8815-E68C78B5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3287</Words>
  <Characters>18082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De Kemmeter</dc:creator>
  <cp:keywords/>
  <dc:description/>
  <cp:lastModifiedBy>Ariel Garay</cp:lastModifiedBy>
  <cp:revision>4</cp:revision>
  <dcterms:created xsi:type="dcterms:W3CDTF">2025-08-11T14:59:00Z</dcterms:created>
  <dcterms:modified xsi:type="dcterms:W3CDTF">2025-08-11T15:31:00Z</dcterms:modified>
</cp:coreProperties>
</file>