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DD04" w14:textId="5B4A33B9" w:rsidR="00DE4149" w:rsidRPr="004E113D" w:rsidRDefault="00DE4149" w:rsidP="00DE4149">
      <w:pPr>
        <w:jc w:val="center"/>
        <w:rPr>
          <w:rFonts w:eastAsia="Arial Unicode MS"/>
          <w:b/>
          <w:sz w:val="24"/>
          <w:szCs w:val="24"/>
        </w:rPr>
      </w:pPr>
      <w:r w:rsidRPr="004E113D">
        <w:rPr>
          <w:rFonts w:eastAsia="Arial Unicode MS"/>
          <w:b/>
          <w:sz w:val="24"/>
          <w:szCs w:val="24"/>
        </w:rPr>
        <w:t>Orden de Compra de las Obligaciones Negociables Clase 2</w:t>
      </w:r>
      <w:r w:rsidR="00EA2441">
        <w:rPr>
          <w:rFonts w:eastAsia="Arial Unicode MS"/>
          <w:b/>
          <w:sz w:val="24"/>
          <w:szCs w:val="24"/>
        </w:rPr>
        <w:t xml:space="preserve"> Adicionales</w:t>
      </w:r>
    </w:p>
    <w:p w14:paraId="3C9EBBEB" w14:textId="77777777" w:rsidR="00DE4149" w:rsidRPr="004E113D" w:rsidRDefault="00DE4149" w:rsidP="00DE4149">
      <w:pPr>
        <w:spacing w:after="200" w:line="276" w:lineRule="auto"/>
        <w:rPr>
          <w:rFonts w:eastAsia="Arial Unicode MS"/>
          <w:b/>
          <w:sz w:val="24"/>
          <w:szCs w:val="24"/>
        </w:rPr>
      </w:pPr>
    </w:p>
    <w:p w14:paraId="309BFB91" w14:textId="68CF6D5D" w:rsidR="00DE4149" w:rsidRPr="004E113D" w:rsidRDefault="00EA2441" w:rsidP="00DE4149">
      <w:pPr>
        <w:jc w:val="right"/>
        <w:rPr>
          <w:sz w:val="24"/>
          <w:szCs w:val="24"/>
        </w:rPr>
      </w:pPr>
      <w:r>
        <w:rPr>
          <w:sz w:val="24"/>
          <w:szCs w:val="24"/>
        </w:rPr>
        <w:t>17</w:t>
      </w:r>
      <w:r w:rsidR="00DE4149" w:rsidRPr="004E113D">
        <w:rPr>
          <w:sz w:val="24"/>
          <w:szCs w:val="24"/>
        </w:rPr>
        <w:t xml:space="preserve"> de </w:t>
      </w:r>
      <w:r w:rsidR="00BC6139">
        <w:rPr>
          <w:sz w:val="24"/>
          <w:szCs w:val="24"/>
        </w:rPr>
        <w:t>octubre</w:t>
      </w:r>
      <w:r w:rsidR="00DE4149" w:rsidRPr="004E113D">
        <w:rPr>
          <w:sz w:val="24"/>
          <w:szCs w:val="24"/>
        </w:rPr>
        <w:t xml:space="preserve"> de 2025,</w:t>
      </w:r>
      <w:r w:rsidR="00DE4149" w:rsidRPr="004E113D">
        <w:rPr>
          <w:bCs/>
          <w:sz w:val="24"/>
          <w:szCs w:val="24"/>
        </w:rPr>
        <w:t xml:space="preserve"> Ciudad Autónoma de Buenos Aires.</w:t>
      </w:r>
    </w:p>
    <w:p w14:paraId="6B0EB14E" w14:textId="77777777" w:rsidR="00DE4149" w:rsidRPr="004E113D" w:rsidRDefault="00DE4149" w:rsidP="00DE4149">
      <w:pPr>
        <w:pStyle w:val="Piedepgina"/>
        <w:widowControl w:val="0"/>
        <w:jc w:val="both"/>
        <w:rPr>
          <w:sz w:val="24"/>
          <w:szCs w:val="24"/>
        </w:rPr>
      </w:pPr>
    </w:p>
    <w:p w14:paraId="2DB4F00D" w14:textId="77777777" w:rsidR="00DE4149" w:rsidRPr="004E113D" w:rsidRDefault="00DE4149" w:rsidP="00DE4149">
      <w:pPr>
        <w:widowControl w:val="0"/>
        <w:jc w:val="both"/>
        <w:rPr>
          <w:sz w:val="24"/>
          <w:szCs w:val="24"/>
        </w:rPr>
      </w:pPr>
      <w:r w:rsidRPr="004E113D">
        <w:rPr>
          <w:sz w:val="24"/>
          <w:szCs w:val="24"/>
        </w:rPr>
        <w:t>Señores</w:t>
      </w:r>
    </w:p>
    <w:p w14:paraId="116A0029" w14:textId="77777777" w:rsidR="00DE4149" w:rsidRPr="004E113D" w:rsidRDefault="00DE4149" w:rsidP="00DE4149">
      <w:pPr>
        <w:widowControl w:val="0"/>
        <w:jc w:val="both"/>
        <w:rPr>
          <w:sz w:val="24"/>
          <w:szCs w:val="24"/>
        </w:rPr>
      </w:pPr>
    </w:p>
    <w:p w14:paraId="7081F5D0" w14:textId="77777777" w:rsidR="008F434B" w:rsidRPr="008F434B" w:rsidRDefault="008F434B" w:rsidP="008F434B">
      <w:pPr>
        <w:rPr>
          <w:sz w:val="24"/>
          <w:szCs w:val="24"/>
        </w:rPr>
      </w:pPr>
      <w:r w:rsidRPr="008F434B">
        <w:rPr>
          <w:sz w:val="24"/>
          <w:szCs w:val="24"/>
        </w:rPr>
        <w:t>Señores</w:t>
      </w:r>
    </w:p>
    <w:p w14:paraId="44C01310" w14:textId="77777777" w:rsidR="008F434B" w:rsidRPr="008F434B" w:rsidRDefault="008F434B" w:rsidP="008F434B">
      <w:pPr>
        <w:rPr>
          <w:b/>
          <w:bCs/>
          <w:sz w:val="24"/>
          <w:szCs w:val="24"/>
        </w:rPr>
      </w:pPr>
      <w:r w:rsidRPr="008F434B">
        <w:rPr>
          <w:b/>
          <w:bCs/>
          <w:sz w:val="24"/>
          <w:szCs w:val="24"/>
        </w:rPr>
        <w:t>Allaria S.A</w:t>
      </w:r>
    </w:p>
    <w:p w14:paraId="17A8393D" w14:textId="77777777" w:rsidR="008F434B" w:rsidRPr="008F434B" w:rsidRDefault="008F434B" w:rsidP="008F434B">
      <w:pPr>
        <w:jc w:val="both"/>
        <w:rPr>
          <w:sz w:val="24"/>
          <w:szCs w:val="24"/>
        </w:rPr>
      </w:pPr>
      <w:r w:rsidRPr="008F434B">
        <w:rPr>
          <w:sz w:val="24"/>
          <w:szCs w:val="24"/>
        </w:rPr>
        <w:t>Ciudad Autónoma de Buenos Aires</w:t>
      </w:r>
    </w:p>
    <w:p w14:paraId="2BA88645" w14:textId="77777777" w:rsidR="008F434B" w:rsidRPr="008F434B" w:rsidRDefault="008F434B" w:rsidP="008F434B">
      <w:pPr>
        <w:pStyle w:val="Textoindependiente"/>
        <w:rPr>
          <w:szCs w:val="24"/>
        </w:rPr>
      </w:pPr>
      <w:r w:rsidRPr="008F434B">
        <w:rPr>
          <w:szCs w:val="24"/>
        </w:rPr>
        <w:t>en su carácter de Colocador</w:t>
      </w:r>
    </w:p>
    <w:p w14:paraId="7B33C5E0" w14:textId="77777777" w:rsidR="008F434B" w:rsidRPr="008F434B" w:rsidRDefault="008F434B" w:rsidP="008F434B">
      <w:pPr>
        <w:pStyle w:val="Textoindependiente"/>
        <w:spacing w:after="120"/>
        <w:rPr>
          <w:szCs w:val="24"/>
        </w:rPr>
      </w:pPr>
      <w:r w:rsidRPr="008F434B">
        <w:rPr>
          <w:szCs w:val="24"/>
          <w:u w:val="single"/>
        </w:rPr>
        <w:t>Presente</w:t>
      </w:r>
    </w:p>
    <w:p w14:paraId="0715B9BA" w14:textId="77777777" w:rsidR="00DE4149" w:rsidRPr="004E113D" w:rsidRDefault="00DE4149" w:rsidP="00DE4149">
      <w:pPr>
        <w:ind w:left="2618" w:right="-80"/>
        <w:jc w:val="both"/>
        <w:rPr>
          <w:sz w:val="24"/>
          <w:szCs w:val="24"/>
          <w:u w:val="single"/>
        </w:rPr>
      </w:pPr>
    </w:p>
    <w:p w14:paraId="6782C186" w14:textId="3EF4AE65" w:rsidR="00DE4149" w:rsidRPr="004E113D" w:rsidRDefault="00DE4149" w:rsidP="00EA2441">
      <w:pPr>
        <w:ind w:left="2410" w:right="-80" w:hanging="283"/>
        <w:rPr>
          <w:sz w:val="24"/>
          <w:szCs w:val="24"/>
        </w:rPr>
      </w:pPr>
      <w:r w:rsidRPr="004E113D">
        <w:rPr>
          <w:sz w:val="24"/>
          <w:szCs w:val="24"/>
          <w:u w:val="single"/>
        </w:rPr>
        <w:t>Ref.: Orden de Compra de Obligaciones Negociables Clase</w:t>
      </w:r>
      <w:r w:rsidR="00EA2441">
        <w:rPr>
          <w:sz w:val="24"/>
          <w:szCs w:val="24"/>
          <w:u w:val="single"/>
        </w:rPr>
        <w:t xml:space="preserve"> 2</w:t>
      </w:r>
      <w:r w:rsidRPr="004E113D">
        <w:rPr>
          <w:sz w:val="24"/>
          <w:szCs w:val="24"/>
          <w:u w:val="single"/>
        </w:rPr>
        <w:t xml:space="preserve"> </w:t>
      </w:r>
      <w:r w:rsidR="00EA2441">
        <w:rPr>
          <w:sz w:val="24"/>
          <w:szCs w:val="24"/>
          <w:u w:val="single"/>
        </w:rPr>
        <w:t>Adicionales</w:t>
      </w:r>
    </w:p>
    <w:p w14:paraId="1E473149" w14:textId="77777777" w:rsidR="00DE4149" w:rsidRPr="004E113D" w:rsidRDefault="00DE4149" w:rsidP="00DE4149">
      <w:pPr>
        <w:widowControl w:val="0"/>
        <w:jc w:val="both"/>
        <w:rPr>
          <w:sz w:val="24"/>
          <w:szCs w:val="24"/>
        </w:rPr>
      </w:pPr>
    </w:p>
    <w:p w14:paraId="2C3A7DCF" w14:textId="77777777" w:rsidR="00DE4149" w:rsidRPr="004E113D" w:rsidRDefault="00DE4149" w:rsidP="00DE4149">
      <w:pPr>
        <w:widowControl w:val="0"/>
        <w:jc w:val="both"/>
        <w:rPr>
          <w:sz w:val="24"/>
          <w:szCs w:val="24"/>
        </w:rPr>
      </w:pPr>
      <w:r w:rsidRPr="004E113D">
        <w:rPr>
          <w:sz w:val="24"/>
          <w:szCs w:val="24"/>
        </w:rPr>
        <w:t>De mi consideración:</w:t>
      </w:r>
    </w:p>
    <w:p w14:paraId="5AF94231" w14:textId="77777777" w:rsidR="00DE4149" w:rsidRPr="004E113D" w:rsidRDefault="00DE4149" w:rsidP="00DE4149">
      <w:pPr>
        <w:widowControl w:val="0"/>
        <w:jc w:val="both"/>
        <w:rPr>
          <w:sz w:val="24"/>
          <w:szCs w:val="24"/>
        </w:rPr>
      </w:pPr>
    </w:p>
    <w:p w14:paraId="276D4365" w14:textId="6ADC9A57" w:rsidR="00DE4149" w:rsidRPr="004E113D" w:rsidRDefault="00DE4149" w:rsidP="00DE4149">
      <w:pPr>
        <w:widowControl w:val="0"/>
        <w:jc w:val="both"/>
        <w:rPr>
          <w:sz w:val="24"/>
          <w:szCs w:val="24"/>
        </w:rPr>
      </w:pPr>
      <w:r w:rsidRPr="004E113D">
        <w:rPr>
          <w:sz w:val="24"/>
          <w:szCs w:val="24"/>
        </w:rPr>
        <w:t>Por medio de la presente el abajo firmante (el “</w:t>
      </w:r>
      <w:r w:rsidRPr="004E113D">
        <w:rPr>
          <w:sz w:val="24"/>
          <w:szCs w:val="24"/>
          <w:u w:val="single"/>
        </w:rPr>
        <w:t>Oferente</w:t>
      </w:r>
      <w:r w:rsidRPr="004E113D">
        <w:rPr>
          <w:sz w:val="24"/>
          <w:szCs w:val="24"/>
        </w:rPr>
        <w:t xml:space="preserve">”), se dirige a </w:t>
      </w:r>
      <w:r w:rsidR="00113CA0" w:rsidRPr="00113CA0">
        <w:rPr>
          <w:b/>
          <w:sz w:val="24"/>
          <w:szCs w:val="24"/>
        </w:rPr>
        <w:t>Allaria S.A</w:t>
      </w:r>
      <w:r w:rsidRPr="004E113D">
        <w:rPr>
          <w:b/>
          <w:sz w:val="24"/>
          <w:szCs w:val="24"/>
        </w:rPr>
        <w:t xml:space="preserve"> </w:t>
      </w:r>
      <w:r w:rsidRPr="004E113D">
        <w:rPr>
          <w:sz w:val="24"/>
          <w:szCs w:val="24"/>
        </w:rPr>
        <w:t>en su carácter de agente colocador (el “</w:t>
      </w:r>
      <w:r w:rsidRPr="004E113D">
        <w:rPr>
          <w:sz w:val="24"/>
          <w:szCs w:val="24"/>
          <w:u w:val="single"/>
        </w:rPr>
        <w:t>Agente</w:t>
      </w:r>
      <w:r w:rsidRPr="004E113D">
        <w:rPr>
          <w:sz w:val="24"/>
          <w:szCs w:val="24"/>
        </w:rPr>
        <w:t xml:space="preserve"> </w:t>
      </w:r>
      <w:r w:rsidRPr="004E113D">
        <w:rPr>
          <w:sz w:val="24"/>
          <w:szCs w:val="24"/>
          <w:u w:val="single"/>
        </w:rPr>
        <w:t>Colocador</w:t>
      </w:r>
      <w:r w:rsidRPr="004E113D">
        <w:rPr>
          <w:sz w:val="24"/>
          <w:szCs w:val="24"/>
        </w:rPr>
        <w:t xml:space="preserve">”) de las obligaciones negociables clase 2 </w:t>
      </w:r>
      <w:r w:rsidR="00EA2441">
        <w:rPr>
          <w:sz w:val="24"/>
          <w:szCs w:val="24"/>
        </w:rPr>
        <w:t xml:space="preserve">adicionales </w:t>
      </w:r>
      <w:r w:rsidRPr="004E113D">
        <w:rPr>
          <w:sz w:val="24"/>
          <w:szCs w:val="24"/>
        </w:rPr>
        <w:t>denominadas, a ser suscriptas, integradas y pagaderas en Dólares Estadounidenses en el país, a tasa de interés fija, con vencimiento el 01 de junio de 2026 por un valor nominal de hasta US$20.000.000 (Dólares Estadounidenses veinte millones), ampliables por hasta US$60.000.000 (Dólares Estadounidenses sesenta millones) (las “</w:t>
      </w:r>
      <w:r w:rsidRPr="004E113D">
        <w:rPr>
          <w:sz w:val="24"/>
          <w:szCs w:val="24"/>
          <w:u w:val="single"/>
        </w:rPr>
        <w:t>Obligaciones Negociables</w:t>
      </w:r>
      <w:r w:rsidRPr="004E113D">
        <w:rPr>
          <w:sz w:val="24"/>
          <w:szCs w:val="24"/>
        </w:rPr>
        <w:t>” o las “</w:t>
      </w:r>
      <w:r w:rsidRPr="004E113D">
        <w:rPr>
          <w:sz w:val="24"/>
          <w:szCs w:val="24"/>
          <w:u w:val="single"/>
        </w:rPr>
        <w:t>Obligaciones Negociables Clase 2</w:t>
      </w:r>
      <w:r w:rsidR="00EA2441">
        <w:rPr>
          <w:sz w:val="24"/>
          <w:szCs w:val="24"/>
          <w:u w:val="single"/>
        </w:rPr>
        <w:t xml:space="preserve"> Adicionales</w:t>
      </w:r>
      <w:r w:rsidRPr="004E113D">
        <w:rPr>
          <w:sz w:val="24"/>
          <w:szCs w:val="24"/>
        </w:rPr>
        <w:t>”, indistintamente) en los términos y condiciones reflejados</w:t>
      </w:r>
      <w:r>
        <w:rPr>
          <w:sz w:val="24"/>
          <w:szCs w:val="24"/>
        </w:rPr>
        <w:t>: (i)</w:t>
      </w:r>
      <w:r w:rsidRPr="004E113D">
        <w:rPr>
          <w:sz w:val="24"/>
          <w:szCs w:val="24"/>
        </w:rPr>
        <w:t xml:space="preserve"> en el Suplemento de Prospecto de fecha </w:t>
      </w:r>
      <w:r w:rsidR="00EA2441">
        <w:rPr>
          <w:sz w:val="24"/>
          <w:szCs w:val="24"/>
        </w:rPr>
        <w:t>16</w:t>
      </w:r>
      <w:r w:rsidRPr="00A102EC">
        <w:rPr>
          <w:sz w:val="24"/>
          <w:szCs w:val="24"/>
        </w:rPr>
        <w:t xml:space="preserve"> de </w:t>
      </w:r>
      <w:r w:rsidR="00EA2441">
        <w:rPr>
          <w:sz w:val="24"/>
          <w:szCs w:val="24"/>
        </w:rPr>
        <w:t>octubre</w:t>
      </w:r>
      <w:r w:rsidRPr="004E113D">
        <w:rPr>
          <w:sz w:val="24"/>
          <w:szCs w:val="24"/>
        </w:rPr>
        <w:t xml:space="preserve"> de 2025 </w:t>
      </w:r>
      <w:r>
        <w:rPr>
          <w:sz w:val="24"/>
          <w:szCs w:val="24"/>
        </w:rPr>
        <w:t xml:space="preserve">, </w:t>
      </w:r>
      <w:r w:rsidRPr="00F673B8">
        <w:rPr>
          <w:sz w:val="24"/>
          <w:szCs w:val="24"/>
        </w:rPr>
        <w:t>(</w:t>
      </w:r>
      <w:proofErr w:type="spellStart"/>
      <w:r w:rsidRPr="00F673B8">
        <w:rPr>
          <w:sz w:val="24"/>
          <w:szCs w:val="24"/>
        </w:rPr>
        <w:t>ii</w:t>
      </w:r>
      <w:proofErr w:type="spellEnd"/>
      <w:r w:rsidRPr="00F673B8">
        <w:rPr>
          <w:sz w:val="24"/>
          <w:szCs w:val="24"/>
        </w:rPr>
        <w:t xml:space="preserve">) </w:t>
      </w:r>
      <w:r>
        <w:rPr>
          <w:sz w:val="24"/>
          <w:szCs w:val="24"/>
        </w:rPr>
        <w:t xml:space="preserve">en el </w:t>
      </w:r>
      <w:r w:rsidRPr="00F673B8">
        <w:rPr>
          <w:sz w:val="24"/>
          <w:szCs w:val="24"/>
        </w:rPr>
        <w:t xml:space="preserve">aviso de suscripción de fecha </w:t>
      </w:r>
      <w:r w:rsidR="00EA2441">
        <w:rPr>
          <w:sz w:val="24"/>
          <w:szCs w:val="24"/>
        </w:rPr>
        <w:t>16</w:t>
      </w:r>
      <w:r w:rsidR="00EA2441" w:rsidRPr="00A102EC">
        <w:rPr>
          <w:sz w:val="24"/>
          <w:szCs w:val="24"/>
        </w:rPr>
        <w:t xml:space="preserve"> de </w:t>
      </w:r>
      <w:r w:rsidR="00EA2441">
        <w:rPr>
          <w:sz w:val="24"/>
          <w:szCs w:val="24"/>
        </w:rPr>
        <w:t>octubre</w:t>
      </w:r>
      <w:r w:rsidR="00EA2441" w:rsidRPr="004E113D">
        <w:rPr>
          <w:sz w:val="24"/>
          <w:szCs w:val="24"/>
        </w:rPr>
        <w:t xml:space="preserve"> </w:t>
      </w:r>
      <w:r w:rsidRPr="00F673B8">
        <w:rPr>
          <w:sz w:val="24"/>
          <w:szCs w:val="24"/>
        </w:rPr>
        <w:t>de 2025 (el “Aviso de Suscripción”), (</w:t>
      </w:r>
      <w:proofErr w:type="spellStart"/>
      <w:r w:rsidRPr="00F673B8">
        <w:rPr>
          <w:sz w:val="24"/>
          <w:szCs w:val="24"/>
        </w:rPr>
        <w:t>iii</w:t>
      </w:r>
      <w:proofErr w:type="spellEnd"/>
      <w:r w:rsidRPr="00F673B8">
        <w:rPr>
          <w:sz w:val="24"/>
          <w:szCs w:val="24"/>
        </w:rPr>
        <w:t xml:space="preserve">) </w:t>
      </w:r>
      <w:r>
        <w:rPr>
          <w:sz w:val="24"/>
          <w:szCs w:val="24"/>
        </w:rPr>
        <w:t xml:space="preserve">en el </w:t>
      </w:r>
      <w:r w:rsidRPr="00F673B8">
        <w:rPr>
          <w:sz w:val="24"/>
          <w:szCs w:val="24"/>
        </w:rPr>
        <w:t xml:space="preserve">aviso complementario al Suplemento de Prospecto y al Aviso de Suscripción de fecha </w:t>
      </w:r>
      <w:r w:rsidR="00EA2441">
        <w:rPr>
          <w:sz w:val="24"/>
          <w:szCs w:val="24"/>
        </w:rPr>
        <w:t>16</w:t>
      </w:r>
      <w:r w:rsidR="00EA2441" w:rsidRPr="00A102EC">
        <w:rPr>
          <w:sz w:val="24"/>
          <w:szCs w:val="24"/>
        </w:rPr>
        <w:t xml:space="preserve"> de </w:t>
      </w:r>
      <w:r w:rsidR="00EA2441">
        <w:rPr>
          <w:sz w:val="24"/>
          <w:szCs w:val="24"/>
        </w:rPr>
        <w:t>octubre</w:t>
      </w:r>
      <w:r w:rsidR="00EA2441" w:rsidRPr="004E113D">
        <w:rPr>
          <w:sz w:val="24"/>
          <w:szCs w:val="24"/>
        </w:rPr>
        <w:t xml:space="preserve"> </w:t>
      </w:r>
      <w:r w:rsidRPr="00F673B8">
        <w:rPr>
          <w:sz w:val="24"/>
          <w:szCs w:val="24"/>
        </w:rPr>
        <w:t>(el “Aviso Complementario”), y</w:t>
      </w:r>
      <w:r>
        <w:rPr>
          <w:sz w:val="24"/>
          <w:szCs w:val="24"/>
        </w:rPr>
        <w:t xml:space="preserve"> </w:t>
      </w:r>
      <w:r w:rsidRPr="004E113D">
        <w:rPr>
          <w:sz w:val="24"/>
          <w:szCs w:val="24"/>
        </w:rPr>
        <w:t xml:space="preserve">junto con el Prospecto, </w:t>
      </w:r>
      <w:r>
        <w:rPr>
          <w:sz w:val="24"/>
          <w:szCs w:val="24"/>
        </w:rPr>
        <w:t xml:space="preserve">el Suplemento de Prospecto, el Aviso de Suscripción, el Aviso Complementario, </w:t>
      </w:r>
      <w:r w:rsidRPr="004E113D">
        <w:rPr>
          <w:sz w:val="24"/>
          <w:szCs w:val="24"/>
        </w:rPr>
        <w:t>los “</w:t>
      </w:r>
      <w:r w:rsidRPr="004E113D">
        <w:rPr>
          <w:sz w:val="24"/>
          <w:szCs w:val="24"/>
          <w:u w:val="words"/>
        </w:rPr>
        <w:t>Document</w:t>
      </w:r>
      <w:r w:rsidRPr="004E113D">
        <w:rPr>
          <w:sz w:val="24"/>
          <w:szCs w:val="24"/>
          <w:u w:val="single"/>
        </w:rPr>
        <w:t>os de la Emis</w:t>
      </w:r>
      <w:r w:rsidRPr="004E113D">
        <w:rPr>
          <w:sz w:val="24"/>
          <w:szCs w:val="24"/>
          <w:u w:val="words"/>
        </w:rPr>
        <w:t>ión</w:t>
      </w:r>
      <w:r w:rsidRPr="004E113D">
        <w:rPr>
          <w:sz w:val="24"/>
          <w:szCs w:val="24"/>
        </w:rPr>
        <w:t xml:space="preserve">”), a los efectos de solicitar la suscripción de las Obligaciones Negociables Clase 2 </w:t>
      </w:r>
      <w:r w:rsidR="00EA2441">
        <w:rPr>
          <w:sz w:val="24"/>
          <w:szCs w:val="24"/>
        </w:rPr>
        <w:t xml:space="preserve">Adicionales </w:t>
      </w:r>
      <w:r w:rsidRPr="004E113D">
        <w:rPr>
          <w:sz w:val="24"/>
          <w:szCs w:val="24"/>
        </w:rPr>
        <w:t>según se estipula más abajo (la “</w:t>
      </w:r>
      <w:r w:rsidRPr="004E113D">
        <w:rPr>
          <w:sz w:val="24"/>
          <w:szCs w:val="24"/>
          <w:u w:val="single"/>
        </w:rPr>
        <w:t>Orden de Compra</w:t>
      </w:r>
      <w:r w:rsidRPr="004E113D">
        <w:rPr>
          <w:sz w:val="24"/>
          <w:szCs w:val="24"/>
        </w:rPr>
        <w:t>”):</w:t>
      </w:r>
    </w:p>
    <w:p w14:paraId="25BF3B41" w14:textId="77777777" w:rsidR="00DE4149" w:rsidRPr="004E113D" w:rsidRDefault="00DE4149" w:rsidP="00DE4149">
      <w:pPr>
        <w:ind w:right="-271"/>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6"/>
        <w:gridCol w:w="5222"/>
      </w:tblGrid>
      <w:tr w:rsidR="00DE4149" w:rsidRPr="004E113D" w14:paraId="23128615" w14:textId="77777777" w:rsidTr="00F610BF">
        <w:trPr>
          <w:jc w:val="center"/>
        </w:trPr>
        <w:tc>
          <w:tcPr>
            <w:tcW w:w="8948" w:type="dxa"/>
            <w:gridSpan w:val="2"/>
            <w:shd w:val="clear" w:color="auto" w:fill="C0C0C0"/>
          </w:tcPr>
          <w:p w14:paraId="345103FB" w14:textId="77777777" w:rsidR="00DE4149" w:rsidRPr="004E113D" w:rsidRDefault="00DE4149" w:rsidP="00F610BF">
            <w:pPr>
              <w:ind w:right="-271"/>
              <w:jc w:val="both"/>
              <w:rPr>
                <w:b/>
                <w:sz w:val="24"/>
                <w:szCs w:val="24"/>
              </w:rPr>
            </w:pPr>
            <w:r w:rsidRPr="004E113D">
              <w:rPr>
                <w:sz w:val="24"/>
                <w:szCs w:val="24"/>
              </w:rPr>
              <w:br w:type="page"/>
            </w:r>
            <w:r w:rsidRPr="004E113D">
              <w:rPr>
                <w:b/>
                <w:sz w:val="24"/>
                <w:szCs w:val="24"/>
              </w:rPr>
              <w:t>Datos del Oferente</w:t>
            </w:r>
          </w:p>
        </w:tc>
      </w:tr>
      <w:tr w:rsidR="00DE4149" w:rsidRPr="004E113D" w14:paraId="7DD77C38" w14:textId="77777777" w:rsidTr="00F610BF">
        <w:trPr>
          <w:jc w:val="center"/>
        </w:trPr>
        <w:tc>
          <w:tcPr>
            <w:tcW w:w="3726" w:type="dxa"/>
          </w:tcPr>
          <w:p w14:paraId="18AE9B90" w14:textId="77777777" w:rsidR="00DE4149" w:rsidRPr="004E113D" w:rsidRDefault="00DE4149" w:rsidP="00F610BF">
            <w:pPr>
              <w:ind w:right="-271"/>
              <w:jc w:val="both"/>
              <w:rPr>
                <w:b/>
                <w:sz w:val="24"/>
                <w:szCs w:val="24"/>
              </w:rPr>
            </w:pPr>
            <w:r w:rsidRPr="004E113D">
              <w:rPr>
                <w:b/>
                <w:sz w:val="24"/>
                <w:szCs w:val="24"/>
              </w:rPr>
              <w:t xml:space="preserve">Apellido y Nombre o Razón Social </w:t>
            </w:r>
          </w:p>
        </w:tc>
        <w:tc>
          <w:tcPr>
            <w:tcW w:w="5222" w:type="dxa"/>
          </w:tcPr>
          <w:p w14:paraId="7D92A52C" w14:textId="77777777" w:rsidR="00DE4149" w:rsidRPr="004E113D" w:rsidRDefault="00DE4149" w:rsidP="00F610BF">
            <w:pPr>
              <w:ind w:right="-271"/>
              <w:jc w:val="both"/>
              <w:rPr>
                <w:sz w:val="24"/>
                <w:szCs w:val="24"/>
              </w:rPr>
            </w:pPr>
          </w:p>
        </w:tc>
      </w:tr>
      <w:tr w:rsidR="00DE4149" w:rsidRPr="004E113D" w14:paraId="231DEA1D" w14:textId="77777777" w:rsidTr="00F610BF">
        <w:trPr>
          <w:jc w:val="center"/>
        </w:trPr>
        <w:tc>
          <w:tcPr>
            <w:tcW w:w="3726" w:type="dxa"/>
          </w:tcPr>
          <w:p w14:paraId="4EC57EA2" w14:textId="77777777" w:rsidR="00DE4149" w:rsidRPr="004E113D" w:rsidRDefault="00DE4149" w:rsidP="00F610BF">
            <w:pPr>
              <w:ind w:right="-271"/>
              <w:jc w:val="both"/>
              <w:rPr>
                <w:b/>
                <w:sz w:val="24"/>
                <w:szCs w:val="24"/>
              </w:rPr>
            </w:pPr>
            <w:r w:rsidRPr="004E113D">
              <w:rPr>
                <w:b/>
                <w:sz w:val="24"/>
                <w:szCs w:val="24"/>
              </w:rPr>
              <w:t>LE – DNI – CI</w:t>
            </w:r>
          </w:p>
        </w:tc>
        <w:tc>
          <w:tcPr>
            <w:tcW w:w="5222" w:type="dxa"/>
          </w:tcPr>
          <w:p w14:paraId="0997E44C" w14:textId="77777777" w:rsidR="00DE4149" w:rsidRPr="004E113D" w:rsidRDefault="00DE4149" w:rsidP="00F610BF">
            <w:pPr>
              <w:ind w:right="-271"/>
              <w:jc w:val="both"/>
              <w:rPr>
                <w:sz w:val="24"/>
                <w:szCs w:val="24"/>
              </w:rPr>
            </w:pPr>
          </w:p>
        </w:tc>
      </w:tr>
      <w:tr w:rsidR="00DE4149" w:rsidRPr="004E113D" w14:paraId="05ADF066" w14:textId="77777777" w:rsidTr="00F610BF">
        <w:trPr>
          <w:jc w:val="center"/>
        </w:trPr>
        <w:tc>
          <w:tcPr>
            <w:tcW w:w="3726" w:type="dxa"/>
          </w:tcPr>
          <w:p w14:paraId="4DAB1E58" w14:textId="77777777" w:rsidR="00DE4149" w:rsidRPr="004E113D" w:rsidRDefault="00DE4149" w:rsidP="00F610BF">
            <w:pPr>
              <w:ind w:right="-271"/>
              <w:jc w:val="both"/>
              <w:rPr>
                <w:b/>
                <w:sz w:val="24"/>
                <w:szCs w:val="24"/>
              </w:rPr>
            </w:pPr>
            <w:r w:rsidRPr="004E113D">
              <w:rPr>
                <w:b/>
                <w:sz w:val="24"/>
                <w:szCs w:val="24"/>
              </w:rPr>
              <w:t>CUIT / CUIL / CDI</w:t>
            </w:r>
          </w:p>
        </w:tc>
        <w:tc>
          <w:tcPr>
            <w:tcW w:w="5222" w:type="dxa"/>
          </w:tcPr>
          <w:p w14:paraId="38B7FE92" w14:textId="77777777" w:rsidR="00DE4149" w:rsidRPr="004E113D" w:rsidRDefault="00DE4149" w:rsidP="00F610BF">
            <w:pPr>
              <w:ind w:right="-271"/>
              <w:jc w:val="both"/>
              <w:rPr>
                <w:sz w:val="24"/>
                <w:szCs w:val="24"/>
              </w:rPr>
            </w:pPr>
          </w:p>
        </w:tc>
      </w:tr>
      <w:tr w:rsidR="00DE4149" w:rsidRPr="004E113D" w14:paraId="53211B76" w14:textId="77777777" w:rsidTr="00F610BF">
        <w:trPr>
          <w:jc w:val="center"/>
        </w:trPr>
        <w:tc>
          <w:tcPr>
            <w:tcW w:w="3726" w:type="dxa"/>
          </w:tcPr>
          <w:p w14:paraId="7CEC25DC" w14:textId="77777777" w:rsidR="00DE4149" w:rsidRPr="004E113D" w:rsidRDefault="00DE4149" w:rsidP="00F610BF">
            <w:pPr>
              <w:ind w:right="-271"/>
              <w:jc w:val="both"/>
              <w:rPr>
                <w:b/>
                <w:sz w:val="24"/>
                <w:szCs w:val="24"/>
              </w:rPr>
            </w:pPr>
            <w:r w:rsidRPr="004E113D">
              <w:rPr>
                <w:b/>
                <w:sz w:val="24"/>
                <w:szCs w:val="24"/>
              </w:rPr>
              <w:t>Domicilio</w:t>
            </w:r>
          </w:p>
        </w:tc>
        <w:tc>
          <w:tcPr>
            <w:tcW w:w="5222" w:type="dxa"/>
          </w:tcPr>
          <w:p w14:paraId="0A755A97" w14:textId="77777777" w:rsidR="00DE4149" w:rsidRPr="004E113D" w:rsidRDefault="00DE4149" w:rsidP="00F610BF">
            <w:pPr>
              <w:ind w:right="-271"/>
              <w:jc w:val="both"/>
              <w:rPr>
                <w:sz w:val="24"/>
                <w:szCs w:val="24"/>
              </w:rPr>
            </w:pPr>
          </w:p>
        </w:tc>
      </w:tr>
      <w:tr w:rsidR="00DE4149" w:rsidRPr="004E113D" w14:paraId="18E41C71" w14:textId="77777777" w:rsidTr="00F610BF">
        <w:trPr>
          <w:jc w:val="center"/>
        </w:trPr>
        <w:tc>
          <w:tcPr>
            <w:tcW w:w="3726" w:type="dxa"/>
          </w:tcPr>
          <w:p w14:paraId="38275815" w14:textId="77777777" w:rsidR="00DE4149" w:rsidRPr="004E113D" w:rsidRDefault="00DE4149" w:rsidP="00F610BF">
            <w:pPr>
              <w:ind w:right="-271"/>
              <w:jc w:val="both"/>
              <w:rPr>
                <w:b/>
                <w:sz w:val="24"/>
                <w:szCs w:val="24"/>
              </w:rPr>
            </w:pPr>
            <w:r w:rsidRPr="004E113D">
              <w:rPr>
                <w:b/>
                <w:sz w:val="24"/>
                <w:szCs w:val="24"/>
              </w:rPr>
              <w:t>Tipo de Oferente</w:t>
            </w:r>
          </w:p>
        </w:tc>
        <w:tc>
          <w:tcPr>
            <w:tcW w:w="5222" w:type="dxa"/>
          </w:tcPr>
          <w:p w14:paraId="586AEBC7" w14:textId="77777777" w:rsidR="00DE4149" w:rsidRPr="004E113D" w:rsidRDefault="00DE4149" w:rsidP="00F610BF">
            <w:pPr>
              <w:ind w:right="-271"/>
              <w:jc w:val="both"/>
              <w:rPr>
                <w:sz w:val="24"/>
                <w:szCs w:val="24"/>
              </w:rPr>
            </w:pPr>
          </w:p>
        </w:tc>
      </w:tr>
    </w:tbl>
    <w:p w14:paraId="0223EB27" w14:textId="77777777" w:rsidR="00DE4149" w:rsidRPr="004E113D" w:rsidRDefault="00DE4149" w:rsidP="00DE4149">
      <w:pPr>
        <w:widowControl w:val="0"/>
        <w:ind w:right="-17"/>
        <w:jc w:val="both"/>
        <w:rPr>
          <w:sz w:val="24"/>
          <w:szCs w:val="24"/>
        </w:rPr>
      </w:pPr>
    </w:p>
    <w:tbl>
      <w:tblPr>
        <w:tblStyle w:val="Tablaconcuadrcula"/>
        <w:tblW w:w="0" w:type="auto"/>
        <w:jc w:val="center"/>
        <w:tblLook w:val="04A0" w:firstRow="1" w:lastRow="0" w:firstColumn="1" w:lastColumn="0" w:noHBand="0" w:noVBand="1"/>
      </w:tblPr>
      <w:tblGrid>
        <w:gridCol w:w="1734"/>
        <w:gridCol w:w="1479"/>
        <w:gridCol w:w="1376"/>
        <w:gridCol w:w="1559"/>
        <w:gridCol w:w="1559"/>
        <w:gridCol w:w="1551"/>
      </w:tblGrid>
      <w:tr w:rsidR="00DE4149" w:rsidRPr="004E113D" w14:paraId="3A36621B" w14:textId="77777777" w:rsidTr="00F610BF">
        <w:trPr>
          <w:jc w:val="center"/>
        </w:trPr>
        <w:tc>
          <w:tcPr>
            <w:tcW w:w="8815" w:type="dxa"/>
            <w:gridSpan w:val="6"/>
            <w:shd w:val="clear" w:color="auto" w:fill="BFBFBF" w:themeFill="background1" w:themeFillShade="BF"/>
          </w:tcPr>
          <w:p w14:paraId="3700F150" w14:textId="6B14C8FE" w:rsidR="00DE4149" w:rsidRPr="004E113D" w:rsidRDefault="00DE4149" w:rsidP="00F610BF">
            <w:pPr>
              <w:pStyle w:val="Prrafodelista"/>
              <w:ind w:left="0"/>
              <w:rPr>
                <w:rFonts w:eastAsia="Arial Unicode MS"/>
                <w:b/>
                <w:color w:val="000000"/>
              </w:rPr>
            </w:pPr>
            <w:r w:rsidRPr="004E113D">
              <w:rPr>
                <w:rFonts w:eastAsia="Arial Unicode MS"/>
                <w:b/>
                <w:color w:val="000000"/>
              </w:rPr>
              <w:t>OBLIGACIONES NEGOCIABLES CLASE 2</w:t>
            </w:r>
            <w:r w:rsidR="00EA2441">
              <w:rPr>
                <w:rFonts w:eastAsia="Arial Unicode MS"/>
                <w:b/>
                <w:color w:val="000000"/>
              </w:rPr>
              <w:t xml:space="preserve"> ADICIONALES</w:t>
            </w:r>
          </w:p>
        </w:tc>
      </w:tr>
      <w:tr w:rsidR="00DE4149" w:rsidRPr="004E113D" w14:paraId="6B7C132A" w14:textId="77777777" w:rsidTr="00F610BF">
        <w:trPr>
          <w:jc w:val="center"/>
        </w:trPr>
        <w:tc>
          <w:tcPr>
            <w:tcW w:w="8815" w:type="dxa"/>
            <w:gridSpan w:val="6"/>
            <w:shd w:val="clear" w:color="auto" w:fill="D9D9D9" w:themeFill="background1" w:themeFillShade="D9"/>
          </w:tcPr>
          <w:p w14:paraId="535E80B2" w14:textId="77777777" w:rsidR="00DE4149" w:rsidRPr="004E113D" w:rsidRDefault="00DE4149" w:rsidP="00F610BF">
            <w:pPr>
              <w:pStyle w:val="Prrafodelista"/>
              <w:tabs>
                <w:tab w:val="left" w:pos="2096"/>
              </w:tabs>
              <w:ind w:left="0"/>
              <w:jc w:val="both"/>
              <w:rPr>
                <w:rFonts w:eastAsia="Arial Unicode MS"/>
                <w:b/>
                <w:color w:val="000000"/>
              </w:rPr>
            </w:pPr>
            <w:proofErr w:type="spellStart"/>
            <w:r w:rsidRPr="004E113D">
              <w:rPr>
                <w:rFonts w:eastAsia="Arial Unicode MS"/>
                <w:b/>
                <w:color w:val="000000"/>
              </w:rPr>
              <w:t>Tramo</w:t>
            </w:r>
            <w:proofErr w:type="spellEnd"/>
            <w:r w:rsidRPr="004E113D">
              <w:rPr>
                <w:rFonts w:eastAsia="Arial Unicode MS"/>
                <w:b/>
                <w:color w:val="000000"/>
              </w:rPr>
              <w:t xml:space="preserve"> </w:t>
            </w:r>
            <w:proofErr w:type="spellStart"/>
            <w:r w:rsidRPr="004E113D">
              <w:rPr>
                <w:rFonts w:eastAsia="Arial Unicode MS"/>
                <w:b/>
                <w:color w:val="000000"/>
              </w:rPr>
              <w:t>Competitivo</w:t>
            </w:r>
            <w:proofErr w:type="spellEnd"/>
            <w:r w:rsidRPr="004E113D">
              <w:rPr>
                <w:rFonts w:eastAsia="Arial Unicode MS"/>
                <w:b/>
                <w:color w:val="000000"/>
              </w:rPr>
              <w:tab/>
            </w:r>
          </w:p>
        </w:tc>
      </w:tr>
      <w:tr w:rsidR="00DE4149" w:rsidRPr="004E113D" w14:paraId="36F69061" w14:textId="77777777" w:rsidTr="00F610BF">
        <w:trPr>
          <w:jc w:val="center"/>
        </w:trPr>
        <w:tc>
          <w:tcPr>
            <w:tcW w:w="1734" w:type="dxa"/>
          </w:tcPr>
          <w:p w14:paraId="11F81EAF"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lastRenderedPageBreak/>
              <w:t xml:space="preserve">Valor Nominal </w:t>
            </w:r>
            <w:proofErr w:type="spellStart"/>
            <w:proofErr w:type="gramStart"/>
            <w:r w:rsidRPr="004E113D">
              <w:rPr>
                <w:rFonts w:eastAsia="Arial Unicode MS"/>
                <w:b/>
                <w:color w:val="000000"/>
              </w:rPr>
              <w:t>Solicitado</w:t>
            </w:r>
            <w:proofErr w:type="spellEnd"/>
            <w:r w:rsidRPr="004E113D">
              <w:rPr>
                <w:rFonts w:eastAsia="Arial Unicode MS"/>
                <w:b/>
                <w:color w:val="000000"/>
                <w:vertAlign w:val="superscript"/>
              </w:rPr>
              <w:t>(</w:t>
            </w:r>
            <w:proofErr w:type="gramEnd"/>
            <w:r w:rsidRPr="004E113D">
              <w:rPr>
                <w:rFonts w:eastAsia="Arial Unicode MS"/>
                <w:b/>
                <w:color w:val="000000"/>
                <w:vertAlign w:val="superscript"/>
              </w:rPr>
              <w:t>1)</w:t>
            </w:r>
          </w:p>
        </w:tc>
        <w:tc>
          <w:tcPr>
            <w:tcW w:w="1370" w:type="dxa"/>
          </w:tcPr>
          <w:p w14:paraId="76BDCCC1"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Tasa </w:t>
            </w:r>
            <w:proofErr w:type="spellStart"/>
            <w:proofErr w:type="gramStart"/>
            <w:r w:rsidRPr="004E113D">
              <w:rPr>
                <w:rFonts w:eastAsia="Arial Unicode MS"/>
                <w:b/>
                <w:color w:val="000000"/>
              </w:rPr>
              <w:t>Solicitada</w:t>
            </w:r>
            <w:proofErr w:type="spellEnd"/>
            <w:r w:rsidRPr="004E113D">
              <w:rPr>
                <w:rFonts w:eastAsia="Arial Unicode MS"/>
                <w:b/>
                <w:color w:val="000000"/>
                <w:vertAlign w:val="superscript"/>
              </w:rPr>
              <w:t>(</w:t>
            </w:r>
            <w:proofErr w:type="gramEnd"/>
            <w:r w:rsidRPr="004E113D">
              <w:rPr>
                <w:rFonts w:eastAsia="Arial Unicode MS"/>
                <w:b/>
                <w:color w:val="000000"/>
                <w:vertAlign w:val="superscript"/>
              </w:rPr>
              <w:t>2)</w:t>
            </w:r>
          </w:p>
        </w:tc>
        <w:tc>
          <w:tcPr>
            <w:tcW w:w="1366" w:type="dxa"/>
          </w:tcPr>
          <w:p w14:paraId="6A64F641" w14:textId="77777777" w:rsidR="00DE4149" w:rsidRPr="004E113D" w:rsidRDefault="00DE4149" w:rsidP="00F610BF">
            <w:pPr>
              <w:pStyle w:val="Prrafodelista"/>
              <w:ind w:left="0"/>
              <w:jc w:val="both"/>
              <w:rPr>
                <w:rFonts w:eastAsia="Arial Unicode MS"/>
                <w:b/>
                <w:color w:val="000000"/>
              </w:rPr>
            </w:pPr>
            <w:proofErr w:type="spellStart"/>
            <w:r w:rsidRPr="004E113D">
              <w:rPr>
                <w:rFonts w:eastAsia="Arial Unicode MS"/>
                <w:b/>
                <w:color w:val="000000"/>
              </w:rPr>
              <w:t>Cuenta</w:t>
            </w:r>
            <w:proofErr w:type="spellEnd"/>
            <w:r w:rsidRPr="004E113D">
              <w:rPr>
                <w:rFonts w:eastAsia="Arial Unicode MS"/>
                <w:b/>
                <w:color w:val="000000"/>
              </w:rPr>
              <w:t xml:space="preserve"> </w:t>
            </w:r>
            <w:proofErr w:type="spellStart"/>
            <w:r w:rsidRPr="004E113D">
              <w:rPr>
                <w:rFonts w:eastAsia="Arial Unicode MS"/>
                <w:b/>
                <w:color w:val="000000"/>
              </w:rPr>
              <w:t>Comitente</w:t>
            </w:r>
            <w:proofErr w:type="spellEnd"/>
          </w:p>
        </w:tc>
        <w:tc>
          <w:tcPr>
            <w:tcW w:w="1397" w:type="dxa"/>
          </w:tcPr>
          <w:p w14:paraId="3E481C6A"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N° </w:t>
            </w:r>
            <w:proofErr w:type="spellStart"/>
            <w:r w:rsidRPr="004E113D">
              <w:rPr>
                <w:rFonts w:eastAsia="Arial Unicode MS"/>
                <w:b/>
                <w:color w:val="000000"/>
              </w:rPr>
              <w:t>Depositante</w:t>
            </w:r>
            <w:proofErr w:type="spellEnd"/>
          </w:p>
        </w:tc>
        <w:tc>
          <w:tcPr>
            <w:tcW w:w="1397" w:type="dxa"/>
          </w:tcPr>
          <w:p w14:paraId="6F76F18F"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Nombre del </w:t>
            </w:r>
            <w:proofErr w:type="spellStart"/>
            <w:r w:rsidRPr="004E113D">
              <w:rPr>
                <w:rFonts w:eastAsia="Arial Unicode MS"/>
                <w:b/>
                <w:color w:val="000000"/>
              </w:rPr>
              <w:t>Depositante</w:t>
            </w:r>
            <w:proofErr w:type="spellEnd"/>
          </w:p>
        </w:tc>
        <w:tc>
          <w:tcPr>
            <w:tcW w:w="1551" w:type="dxa"/>
          </w:tcPr>
          <w:p w14:paraId="411E0019" w14:textId="77777777" w:rsidR="00DE4149" w:rsidRPr="004E113D" w:rsidRDefault="00DE4149" w:rsidP="00F610BF">
            <w:pPr>
              <w:pStyle w:val="Prrafodelista"/>
              <w:ind w:left="0"/>
              <w:jc w:val="both"/>
              <w:rPr>
                <w:rFonts w:eastAsia="Arial Unicode MS"/>
                <w:b/>
                <w:color w:val="000000"/>
              </w:rPr>
            </w:pPr>
            <w:proofErr w:type="spellStart"/>
            <w:r w:rsidRPr="004E113D">
              <w:rPr>
                <w:rFonts w:eastAsia="Arial Unicode MS"/>
                <w:b/>
                <w:color w:val="000000"/>
              </w:rPr>
              <w:t>Porcentaje</w:t>
            </w:r>
            <w:proofErr w:type="spellEnd"/>
            <w:r w:rsidRPr="004E113D">
              <w:rPr>
                <w:rFonts w:eastAsia="Arial Unicode MS"/>
                <w:b/>
                <w:color w:val="000000"/>
              </w:rPr>
              <w:t xml:space="preserve"> </w:t>
            </w:r>
            <w:proofErr w:type="gramStart"/>
            <w:r w:rsidRPr="004E113D">
              <w:rPr>
                <w:rFonts w:eastAsia="Arial Unicode MS"/>
                <w:b/>
                <w:color w:val="000000"/>
              </w:rPr>
              <w:t>Máximo</w:t>
            </w:r>
            <w:r w:rsidRPr="004E113D">
              <w:rPr>
                <w:rFonts w:eastAsia="Arial Unicode MS"/>
                <w:b/>
                <w:color w:val="000000"/>
                <w:vertAlign w:val="superscript"/>
              </w:rPr>
              <w:t>(</w:t>
            </w:r>
            <w:proofErr w:type="gramEnd"/>
            <w:r w:rsidRPr="004E113D">
              <w:rPr>
                <w:rFonts w:eastAsia="Arial Unicode MS"/>
                <w:b/>
                <w:color w:val="000000"/>
                <w:vertAlign w:val="superscript"/>
              </w:rPr>
              <w:t>3)</w:t>
            </w:r>
          </w:p>
        </w:tc>
      </w:tr>
      <w:tr w:rsidR="00DE4149" w:rsidRPr="004E113D" w14:paraId="4A608B9B" w14:textId="77777777" w:rsidTr="00F610BF">
        <w:trPr>
          <w:jc w:val="center"/>
        </w:trPr>
        <w:tc>
          <w:tcPr>
            <w:tcW w:w="1734" w:type="dxa"/>
          </w:tcPr>
          <w:p w14:paraId="2C0DB627"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color w:val="000000"/>
              </w:rPr>
              <w:t>$</w:t>
            </w:r>
            <w:r w:rsidRPr="004E113D">
              <w:rPr>
                <w:rFonts w:eastAsia="Arial Unicode MS"/>
              </w:rPr>
              <w:t>[•</w:t>
            </w:r>
            <w:proofErr w:type="gramEnd"/>
            <w:r w:rsidRPr="004E113D">
              <w:rPr>
                <w:rFonts w:eastAsia="Arial Unicode MS"/>
              </w:rPr>
              <w:t>]</w:t>
            </w:r>
          </w:p>
        </w:tc>
        <w:tc>
          <w:tcPr>
            <w:tcW w:w="1370" w:type="dxa"/>
          </w:tcPr>
          <w:p w14:paraId="2511B2A3"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rPr>
              <w:t>[•]</w:t>
            </w:r>
            <w:proofErr w:type="gramEnd"/>
            <w:r w:rsidRPr="004E113D">
              <w:rPr>
                <w:rFonts w:eastAsia="Arial Unicode MS"/>
                <w:color w:val="000000"/>
              </w:rPr>
              <w:t xml:space="preserve"> </w:t>
            </w:r>
            <w:proofErr w:type="gramStart"/>
            <w:r w:rsidRPr="004E113D">
              <w:rPr>
                <w:rFonts w:eastAsia="Arial Unicode MS"/>
                <w:color w:val="000000"/>
              </w:rPr>
              <w:t xml:space="preserve">, </w:t>
            </w:r>
            <w:r w:rsidRPr="004E113D">
              <w:rPr>
                <w:rFonts w:eastAsia="Arial Unicode MS"/>
              </w:rPr>
              <w:t>[•</w:t>
            </w:r>
            <w:proofErr w:type="gramEnd"/>
            <w:r w:rsidRPr="004E113D">
              <w:rPr>
                <w:rFonts w:eastAsia="Arial Unicode MS"/>
              </w:rPr>
              <w:t>]</w:t>
            </w:r>
            <w:r w:rsidRPr="004E113D">
              <w:rPr>
                <w:rFonts w:eastAsia="Arial Unicode MS"/>
                <w:color w:val="000000"/>
              </w:rPr>
              <w:t>%</w:t>
            </w:r>
          </w:p>
        </w:tc>
        <w:tc>
          <w:tcPr>
            <w:tcW w:w="1366" w:type="dxa"/>
          </w:tcPr>
          <w:p w14:paraId="32FEE118" w14:textId="77777777" w:rsidR="00DE4149" w:rsidRPr="004E113D" w:rsidRDefault="00DE4149" w:rsidP="00F610BF">
            <w:pPr>
              <w:pStyle w:val="Prrafodelista"/>
              <w:ind w:left="0"/>
              <w:jc w:val="both"/>
              <w:rPr>
                <w:rFonts w:eastAsia="Arial Unicode MS"/>
                <w:color w:val="000000"/>
              </w:rPr>
            </w:pPr>
          </w:p>
        </w:tc>
        <w:tc>
          <w:tcPr>
            <w:tcW w:w="1397" w:type="dxa"/>
          </w:tcPr>
          <w:p w14:paraId="770E334D" w14:textId="77777777" w:rsidR="00DE4149" w:rsidRPr="004E113D" w:rsidRDefault="00DE4149" w:rsidP="00F610BF">
            <w:pPr>
              <w:pStyle w:val="Prrafodelista"/>
              <w:ind w:left="0"/>
              <w:jc w:val="both"/>
              <w:rPr>
                <w:rFonts w:eastAsia="Arial Unicode MS"/>
                <w:color w:val="000000"/>
              </w:rPr>
            </w:pPr>
          </w:p>
        </w:tc>
        <w:tc>
          <w:tcPr>
            <w:tcW w:w="1397" w:type="dxa"/>
          </w:tcPr>
          <w:p w14:paraId="76D30C27" w14:textId="77777777" w:rsidR="00DE4149" w:rsidRPr="004E113D" w:rsidRDefault="00DE4149" w:rsidP="00F610BF">
            <w:pPr>
              <w:pStyle w:val="Prrafodelista"/>
              <w:ind w:left="0"/>
              <w:jc w:val="both"/>
              <w:rPr>
                <w:rFonts w:eastAsia="Arial Unicode MS"/>
                <w:color w:val="000000"/>
              </w:rPr>
            </w:pPr>
          </w:p>
        </w:tc>
        <w:tc>
          <w:tcPr>
            <w:tcW w:w="1551" w:type="dxa"/>
          </w:tcPr>
          <w:p w14:paraId="198625B0" w14:textId="77777777" w:rsidR="00DE4149" w:rsidRPr="004E113D" w:rsidRDefault="00DE4149" w:rsidP="00F610BF">
            <w:pPr>
              <w:pStyle w:val="Prrafodelista"/>
              <w:ind w:left="0"/>
              <w:rPr>
                <w:rFonts w:eastAsia="Arial Unicode MS"/>
                <w:color w:val="000000"/>
              </w:rPr>
            </w:pPr>
            <w:proofErr w:type="gramStart"/>
            <w:r w:rsidRPr="004E113D">
              <w:rPr>
                <w:rFonts w:eastAsia="Arial Unicode MS"/>
              </w:rPr>
              <w:t>[•]</w:t>
            </w:r>
            <w:proofErr w:type="gramEnd"/>
            <w:r w:rsidRPr="004E113D">
              <w:rPr>
                <w:rFonts w:eastAsia="Arial Unicode MS"/>
                <w:color w:val="000000"/>
              </w:rPr>
              <w:t>%</w:t>
            </w:r>
          </w:p>
        </w:tc>
      </w:tr>
      <w:tr w:rsidR="00DE4149" w:rsidRPr="004E113D" w14:paraId="18397017" w14:textId="77777777" w:rsidTr="00F610BF">
        <w:trPr>
          <w:jc w:val="center"/>
        </w:trPr>
        <w:tc>
          <w:tcPr>
            <w:tcW w:w="1734" w:type="dxa"/>
          </w:tcPr>
          <w:p w14:paraId="74D89BC3"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color w:val="000000"/>
              </w:rPr>
              <w:t>$</w:t>
            </w:r>
            <w:r w:rsidRPr="004E113D">
              <w:rPr>
                <w:rFonts w:eastAsia="Arial Unicode MS"/>
              </w:rPr>
              <w:t>[•</w:t>
            </w:r>
            <w:proofErr w:type="gramEnd"/>
            <w:r w:rsidRPr="004E113D">
              <w:rPr>
                <w:rFonts w:eastAsia="Arial Unicode MS"/>
              </w:rPr>
              <w:t>]</w:t>
            </w:r>
          </w:p>
        </w:tc>
        <w:tc>
          <w:tcPr>
            <w:tcW w:w="1370" w:type="dxa"/>
          </w:tcPr>
          <w:p w14:paraId="34DC7B9B"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rPr>
              <w:t>[•]</w:t>
            </w:r>
            <w:proofErr w:type="gramEnd"/>
            <w:r w:rsidRPr="004E113D">
              <w:rPr>
                <w:rFonts w:eastAsia="Arial Unicode MS"/>
                <w:color w:val="000000"/>
              </w:rPr>
              <w:t xml:space="preserve"> </w:t>
            </w:r>
            <w:proofErr w:type="gramStart"/>
            <w:r w:rsidRPr="004E113D">
              <w:rPr>
                <w:rFonts w:eastAsia="Arial Unicode MS"/>
                <w:color w:val="000000"/>
              </w:rPr>
              <w:t xml:space="preserve">, </w:t>
            </w:r>
            <w:r w:rsidRPr="004E113D">
              <w:rPr>
                <w:rFonts w:eastAsia="Arial Unicode MS"/>
              </w:rPr>
              <w:t>[•</w:t>
            </w:r>
            <w:proofErr w:type="gramEnd"/>
            <w:r w:rsidRPr="004E113D">
              <w:rPr>
                <w:rFonts w:eastAsia="Arial Unicode MS"/>
              </w:rPr>
              <w:t>]</w:t>
            </w:r>
            <w:r w:rsidRPr="004E113D">
              <w:rPr>
                <w:rFonts w:eastAsia="Arial Unicode MS"/>
                <w:color w:val="000000"/>
              </w:rPr>
              <w:t>%</w:t>
            </w:r>
          </w:p>
        </w:tc>
        <w:tc>
          <w:tcPr>
            <w:tcW w:w="1366" w:type="dxa"/>
          </w:tcPr>
          <w:p w14:paraId="097EB537" w14:textId="77777777" w:rsidR="00DE4149" w:rsidRPr="004E113D" w:rsidRDefault="00DE4149" w:rsidP="00F610BF">
            <w:pPr>
              <w:pStyle w:val="Prrafodelista"/>
              <w:ind w:left="0"/>
              <w:jc w:val="both"/>
              <w:rPr>
                <w:rFonts w:eastAsia="Arial Unicode MS"/>
                <w:color w:val="000000"/>
              </w:rPr>
            </w:pPr>
          </w:p>
        </w:tc>
        <w:tc>
          <w:tcPr>
            <w:tcW w:w="1397" w:type="dxa"/>
          </w:tcPr>
          <w:p w14:paraId="5CFAB288" w14:textId="77777777" w:rsidR="00DE4149" w:rsidRPr="004E113D" w:rsidRDefault="00DE4149" w:rsidP="00F610BF">
            <w:pPr>
              <w:pStyle w:val="Prrafodelista"/>
              <w:ind w:left="0"/>
              <w:jc w:val="both"/>
              <w:rPr>
                <w:rFonts w:eastAsia="Arial Unicode MS"/>
                <w:color w:val="000000"/>
              </w:rPr>
            </w:pPr>
          </w:p>
        </w:tc>
        <w:tc>
          <w:tcPr>
            <w:tcW w:w="1397" w:type="dxa"/>
          </w:tcPr>
          <w:p w14:paraId="189FE40D" w14:textId="77777777" w:rsidR="00DE4149" w:rsidRPr="004E113D" w:rsidRDefault="00DE4149" w:rsidP="00F610BF">
            <w:pPr>
              <w:pStyle w:val="Prrafodelista"/>
              <w:ind w:left="0"/>
              <w:jc w:val="both"/>
              <w:rPr>
                <w:rFonts w:eastAsia="Arial Unicode MS"/>
                <w:color w:val="000000"/>
              </w:rPr>
            </w:pPr>
          </w:p>
        </w:tc>
        <w:tc>
          <w:tcPr>
            <w:tcW w:w="1551" w:type="dxa"/>
          </w:tcPr>
          <w:p w14:paraId="48FC75A1" w14:textId="77777777" w:rsidR="00DE4149" w:rsidRPr="004E113D" w:rsidRDefault="00DE4149" w:rsidP="00F610BF">
            <w:pPr>
              <w:pStyle w:val="Prrafodelista"/>
              <w:ind w:left="0"/>
              <w:rPr>
                <w:rFonts w:eastAsia="Arial Unicode MS"/>
                <w:color w:val="000000"/>
              </w:rPr>
            </w:pPr>
            <w:proofErr w:type="gramStart"/>
            <w:r w:rsidRPr="004E113D">
              <w:rPr>
                <w:rFonts w:eastAsia="Arial Unicode MS"/>
              </w:rPr>
              <w:t>[•]</w:t>
            </w:r>
            <w:proofErr w:type="gramEnd"/>
            <w:r w:rsidRPr="004E113D">
              <w:rPr>
                <w:rFonts w:eastAsia="Arial Unicode MS"/>
                <w:color w:val="000000"/>
              </w:rPr>
              <w:t>%</w:t>
            </w:r>
          </w:p>
        </w:tc>
      </w:tr>
      <w:tr w:rsidR="00DE4149" w:rsidRPr="004E113D" w14:paraId="556D5A3A" w14:textId="77777777" w:rsidTr="00F610BF">
        <w:trPr>
          <w:jc w:val="center"/>
        </w:trPr>
        <w:tc>
          <w:tcPr>
            <w:tcW w:w="8815" w:type="dxa"/>
            <w:gridSpan w:val="6"/>
            <w:shd w:val="clear" w:color="auto" w:fill="D9D9D9" w:themeFill="background1" w:themeFillShade="D9"/>
          </w:tcPr>
          <w:p w14:paraId="6E8DEA95" w14:textId="77777777" w:rsidR="00DE4149" w:rsidRPr="004E113D" w:rsidRDefault="00DE4149" w:rsidP="00F610BF">
            <w:pPr>
              <w:pStyle w:val="Prrafodelista"/>
              <w:ind w:left="0"/>
              <w:jc w:val="both"/>
              <w:rPr>
                <w:rFonts w:eastAsia="Arial Unicode MS"/>
                <w:b/>
                <w:color w:val="000000"/>
              </w:rPr>
            </w:pPr>
            <w:proofErr w:type="spellStart"/>
            <w:r w:rsidRPr="004E113D">
              <w:rPr>
                <w:rFonts w:eastAsia="Arial Unicode MS"/>
                <w:b/>
                <w:color w:val="000000"/>
              </w:rPr>
              <w:t>Tramo</w:t>
            </w:r>
            <w:proofErr w:type="spellEnd"/>
            <w:r w:rsidRPr="004E113D">
              <w:rPr>
                <w:rFonts w:eastAsia="Arial Unicode MS"/>
                <w:b/>
                <w:color w:val="000000"/>
              </w:rPr>
              <w:t xml:space="preserve"> No </w:t>
            </w:r>
            <w:proofErr w:type="spellStart"/>
            <w:proofErr w:type="gramStart"/>
            <w:r w:rsidRPr="004E113D">
              <w:rPr>
                <w:rFonts w:eastAsia="Arial Unicode MS"/>
                <w:b/>
                <w:color w:val="000000"/>
              </w:rPr>
              <w:t>Competitivo</w:t>
            </w:r>
            <w:proofErr w:type="spellEnd"/>
            <w:r w:rsidRPr="004E113D">
              <w:rPr>
                <w:rFonts w:eastAsia="Arial Unicode MS"/>
                <w:b/>
                <w:color w:val="000000"/>
                <w:vertAlign w:val="superscript"/>
              </w:rPr>
              <w:t>(</w:t>
            </w:r>
            <w:proofErr w:type="gramEnd"/>
            <w:r w:rsidRPr="004E113D">
              <w:rPr>
                <w:rFonts w:eastAsia="Arial Unicode MS"/>
                <w:b/>
                <w:color w:val="000000"/>
                <w:vertAlign w:val="superscript"/>
              </w:rPr>
              <w:t>4)</w:t>
            </w:r>
          </w:p>
        </w:tc>
      </w:tr>
      <w:tr w:rsidR="00DE4149" w:rsidRPr="004E113D" w14:paraId="3D27BC33" w14:textId="77777777" w:rsidTr="00F610BF">
        <w:trPr>
          <w:jc w:val="center"/>
        </w:trPr>
        <w:tc>
          <w:tcPr>
            <w:tcW w:w="3104" w:type="dxa"/>
            <w:gridSpan w:val="2"/>
          </w:tcPr>
          <w:p w14:paraId="5F2B45E6"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Valor Nominal </w:t>
            </w:r>
            <w:proofErr w:type="spellStart"/>
            <w:proofErr w:type="gramStart"/>
            <w:r w:rsidRPr="004E113D">
              <w:rPr>
                <w:rFonts w:eastAsia="Arial Unicode MS"/>
                <w:b/>
                <w:color w:val="000000"/>
              </w:rPr>
              <w:t>Solicitado</w:t>
            </w:r>
            <w:proofErr w:type="spellEnd"/>
            <w:r w:rsidRPr="004E113D">
              <w:rPr>
                <w:rFonts w:eastAsia="Arial Unicode MS"/>
                <w:b/>
                <w:color w:val="000000"/>
                <w:vertAlign w:val="superscript"/>
              </w:rPr>
              <w:t>(</w:t>
            </w:r>
            <w:proofErr w:type="gramEnd"/>
            <w:r w:rsidRPr="004E113D">
              <w:rPr>
                <w:rFonts w:eastAsia="Arial Unicode MS"/>
                <w:b/>
                <w:color w:val="000000"/>
                <w:vertAlign w:val="superscript"/>
              </w:rPr>
              <w:t>1)</w:t>
            </w:r>
          </w:p>
        </w:tc>
        <w:tc>
          <w:tcPr>
            <w:tcW w:w="1366" w:type="dxa"/>
          </w:tcPr>
          <w:p w14:paraId="1A2578CD" w14:textId="77777777" w:rsidR="00DE4149" w:rsidRPr="004E113D" w:rsidRDefault="00DE4149" w:rsidP="00F610BF">
            <w:pPr>
              <w:pStyle w:val="Prrafodelista"/>
              <w:ind w:left="0"/>
              <w:jc w:val="both"/>
              <w:rPr>
                <w:rFonts w:eastAsia="Arial Unicode MS"/>
                <w:b/>
                <w:color w:val="000000"/>
              </w:rPr>
            </w:pPr>
            <w:proofErr w:type="spellStart"/>
            <w:r w:rsidRPr="004E113D">
              <w:rPr>
                <w:rFonts w:eastAsia="Arial Unicode MS"/>
                <w:b/>
                <w:color w:val="000000"/>
              </w:rPr>
              <w:t>Cuenta</w:t>
            </w:r>
            <w:proofErr w:type="spellEnd"/>
            <w:r w:rsidRPr="004E113D">
              <w:rPr>
                <w:rFonts w:eastAsia="Arial Unicode MS"/>
                <w:b/>
                <w:color w:val="000000"/>
              </w:rPr>
              <w:t xml:space="preserve"> </w:t>
            </w:r>
            <w:proofErr w:type="spellStart"/>
            <w:r w:rsidRPr="004E113D">
              <w:rPr>
                <w:rFonts w:eastAsia="Arial Unicode MS"/>
                <w:b/>
                <w:color w:val="000000"/>
              </w:rPr>
              <w:t>Comitente</w:t>
            </w:r>
            <w:proofErr w:type="spellEnd"/>
          </w:p>
        </w:tc>
        <w:tc>
          <w:tcPr>
            <w:tcW w:w="1397" w:type="dxa"/>
          </w:tcPr>
          <w:p w14:paraId="2A9807B2"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N° </w:t>
            </w:r>
            <w:proofErr w:type="spellStart"/>
            <w:r w:rsidRPr="004E113D">
              <w:rPr>
                <w:rFonts w:eastAsia="Arial Unicode MS"/>
                <w:b/>
                <w:color w:val="000000"/>
              </w:rPr>
              <w:t>Depositante</w:t>
            </w:r>
            <w:proofErr w:type="spellEnd"/>
          </w:p>
        </w:tc>
        <w:tc>
          <w:tcPr>
            <w:tcW w:w="2948" w:type="dxa"/>
            <w:gridSpan w:val="2"/>
          </w:tcPr>
          <w:p w14:paraId="256C0C7C" w14:textId="77777777" w:rsidR="00DE4149" w:rsidRPr="004E113D" w:rsidRDefault="00DE4149" w:rsidP="00F610BF">
            <w:pPr>
              <w:pStyle w:val="Prrafodelista"/>
              <w:ind w:left="0"/>
              <w:jc w:val="both"/>
              <w:rPr>
                <w:rFonts w:eastAsia="Arial Unicode MS"/>
                <w:b/>
                <w:color w:val="000000"/>
              </w:rPr>
            </w:pPr>
            <w:r w:rsidRPr="004E113D">
              <w:rPr>
                <w:rFonts w:eastAsia="Arial Unicode MS"/>
                <w:b/>
                <w:color w:val="000000"/>
              </w:rPr>
              <w:t xml:space="preserve">Nombre de </w:t>
            </w:r>
            <w:proofErr w:type="spellStart"/>
            <w:r w:rsidRPr="004E113D">
              <w:rPr>
                <w:rFonts w:eastAsia="Arial Unicode MS"/>
                <w:b/>
                <w:color w:val="000000"/>
              </w:rPr>
              <w:t>Depositante</w:t>
            </w:r>
            <w:proofErr w:type="spellEnd"/>
          </w:p>
        </w:tc>
      </w:tr>
      <w:tr w:rsidR="00DE4149" w:rsidRPr="004E113D" w14:paraId="4F304392" w14:textId="77777777" w:rsidTr="00F610BF">
        <w:trPr>
          <w:jc w:val="center"/>
        </w:trPr>
        <w:tc>
          <w:tcPr>
            <w:tcW w:w="3104" w:type="dxa"/>
            <w:gridSpan w:val="2"/>
          </w:tcPr>
          <w:p w14:paraId="386BD17C"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color w:val="000000"/>
              </w:rPr>
              <w:t>$</w:t>
            </w:r>
            <w:r w:rsidRPr="004E113D">
              <w:rPr>
                <w:rFonts w:eastAsia="Arial Unicode MS"/>
              </w:rPr>
              <w:t>[•</w:t>
            </w:r>
            <w:proofErr w:type="gramEnd"/>
            <w:r w:rsidRPr="004E113D">
              <w:rPr>
                <w:rFonts w:eastAsia="Arial Unicode MS"/>
              </w:rPr>
              <w:t>]</w:t>
            </w:r>
          </w:p>
        </w:tc>
        <w:tc>
          <w:tcPr>
            <w:tcW w:w="1366" w:type="dxa"/>
          </w:tcPr>
          <w:p w14:paraId="1B505D89" w14:textId="77777777" w:rsidR="00DE4149" w:rsidRPr="004E113D" w:rsidRDefault="00DE4149" w:rsidP="00F610BF">
            <w:pPr>
              <w:pStyle w:val="Prrafodelista"/>
              <w:ind w:left="0"/>
              <w:jc w:val="both"/>
              <w:rPr>
                <w:rFonts w:eastAsia="Arial Unicode MS"/>
                <w:color w:val="000000"/>
              </w:rPr>
            </w:pPr>
          </w:p>
        </w:tc>
        <w:tc>
          <w:tcPr>
            <w:tcW w:w="1397" w:type="dxa"/>
          </w:tcPr>
          <w:p w14:paraId="7521224A" w14:textId="77777777" w:rsidR="00DE4149" w:rsidRPr="004E113D" w:rsidRDefault="00DE4149" w:rsidP="00F610BF">
            <w:pPr>
              <w:pStyle w:val="Prrafodelista"/>
              <w:ind w:left="0"/>
              <w:jc w:val="both"/>
              <w:rPr>
                <w:rFonts w:eastAsia="Arial Unicode MS"/>
                <w:color w:val="000000"/>
              </w:rPr>
            </w:pPr>
          </w:p>
        </w:tc>
        <w:tc>
          <w:tcPr>
            <w:tcW w:w="2948" w:type="dxa"/>
            <w:gridSpan w:val="2"/>
          </w:tcPr>
          <w:p w14:paraId="132D62B4" w14:textId="77777777" w:rsidR="00DE4149" w:rsidRPr="004E113D" w:rsidRDefault="00DE4149" w:rsidP="00F610BF">
            <w:pPr>
              <w:pStyle w:val="Prrafodelista"/>
              <w:rPr>
                <w:rFonts w:eastAsia="Arial Unicode MS"/>
                <w:color w:val="000000"/>
              </w:rPr>
            </w:pPr>
          </w:p>
        </w:tc>
      </w:tr>
      <w:tr w:rsidR="00DE4149" w:rsidRPr="004E113D" w14:paraId="386918A5" w14:textId="77777777" w:rsidTr="00F610BF">
        <w:trPr>
          <w:jc w:val="center"/>
        </w:trPr>
        <w:tc>
          <w:tcPr>
            <w:tcW w:w="3104" w:type="dxa"/>
            <w:gridSpan w:val="2"/>
          </w:tcPr>
          <w:p w14:paraId="099D0A04" w14:textId="77777777" w:rsidR="00DE4149" w:rsidRPr="004E113D" w:rsidRDefault="00DE4149" w:rsidP="00F610BF">
            <w:pPr>
              <w:pStyle w:val="Prrafodelista"/>
              <w:ind w:left="0"/>
              <w:jc w:val="both"/>
              <w:rPr>
                <w:rFonts w:eastAsia="Arial Unicode MS"/>
                <w:color w:val="000000"/>
              </w:rPr>
            </w:pPr>
            <w:proofErr w:type="gramStart"/>
            <w:r w:rsidRPr="004E113D">
              <w:rPr>
                <w:rFonts w:eastAsia="Arial Unicode MS"/>
                <w:color w:val="000000"/>
              </w:rPr>
              <w:t>$</w:t>
            </w:r>
            <w:r w:rsidRPr="004E113D">
              <w:rPr>
                <w:rFonts w:eastAsia="Arial Unicode MS"/>
              </w:rPr>
              <w:t>[•</w:t>
            </w:r>
            <w:proofErr w:type="gramEnd"/>
            <w:r w:rsidRPr="004E113D">
              <w:rPr>
                <w:rFonts w:eastAsia="Arial Unicode MS"/>
              </w:rPr>
              <w:t>]</w:t>
            </w:r>
          </w:p>
        </w:tc>
        <w:tc>
          <w:tcPr>
            <w:tcW w:w="1366" w:type="dxa"/>
          </w:tcPr>
          <w:p w14:paraId="6895E3FD" w14:textId="77777777" w:rsidR="00DE4149" w:rsidRPr="004E113D" w:rsidRDefault="00DE4149" w:rsidP="00F610BF">
            <w:pPr>
              <w:pStyle w:val="Prrafodelista"/>
              <w:ind w:left="0"/>
              <w:jc w:val="both"/>
              <w:rPr>
                <w:rFonts w:eastAsia="Arial Unicode MS"/>
                <w:color w:val="000000"/>
              </w:rPr>
            </w:pPr>
          </w:p>
        </w:tc>
        <w:tc>
          <w:tcPr>
            <w:tcW w:w="1397" w:type="dxa"/>
          </w:tcPr>
          <w:p w14:paraId="59584503" w14:textId="77777777" w:rsidR="00DE4149" w:rsidRPr="004E113D" w:rsidRDefault="00DE4149" w:rsidP="00F610BF">
            <w:pPr>
              <w:pStyle w:val="Prrafodelista"/>
              <w:ind w:left="0"/>
              <w:jc w:val="both"/>
              <w:rPr>
                <w:rFonts w:eastAsia="Arial Unicode MS"/>
                <w:color w:val="000000"/>
              </w:rPr>
            </w:pPr>
          </w:p>
        </w:tc>
        <w:tc>
          <w:tcPr>
            <w:tcW w:w="2948" w:type="dxa"/>
            <w:gridSpan w:val="2"/>
          </w:tcPr>
          <w:p w14:paraId="2A5C77B5" w14:textId="77777777" w:rsidR="00DE4149" w:rsidRPr="004E113D" w:rsidRDefault="00DE4149" w:rsidP="00F610BF">
            <w:pPr>
              <w:pStyle w:val="Prrafodelista"/>
              <w:rPr>
                <w:rFonts w:eastAsia="Arial Unicode MS"/>
                <w:color w:val="000000"/>
              </w:rPr>
            </w:pPr>
          </w:p>
        </w:tc>
      </w:tr>
    </w:tbl>
    <w:p w14:paraId="32E34D21" w14:textId="77777777" w:rsidR="00DE4149" w:rsidRPr="004E113D" w:rsidRDefault="00DE4149" w:rsidP="00DE4149">
      <w:pPr>
        <w:pStyle w:val="Textoindependiente"/>
        <w:rPr>
          <w:szCs w:val="24"/>
        </w:rPr>
      </w:pPr>
      <w:r w:rsidRPr="004E113D">
        <w:rPr>
          <w:szCs w:val="24"/>
        </w:rPr>
        <w:t>(1) En dólares estadounidenses. Monto Mínimo de Suscripción: US$100, y múltiplos de US$1 por encima de dicho monto.</w:t>
      </w:r>
    </w:p>
    <w:p w14:paraId="5512C700" w14:textId="77777777" w:rsidR="00DE4149" w:rsidRPr="004E113D" w:rsidRDefault="00DE4149" w:rsidP="00DE4149">
      <w:pPr>
        <w:pStyle w:val="Textoindependiente"/>
        <w:rPr>
          <w:szCs w:val="24"/>
        </w:rPr>
      </w:pPr>
      <w:r w:rsidRPr="004E113D">
        <w:rPr>
          <w:szCs w:val="24"/>
        </w:rPr>
        <w:t>(2) Indicar la Tasa Solicitada, expresada como porcentaje limitado a dos decimales.</w:t>
      </w:r>
    </w:p>
    <w:p w14:paraId="4C6926F0" w14:textId="77777777" w:rsidR="00DE4149" w:rsidRPr="004E113D" w:rsidRDefault="00DE4149" w:rsidP="00DE4149">
      <w:pPr>
        <w:pStyle w:val="Textoindependiente"/>
        <w:rPr>
          <w:szCs w:val="24"/>
        </w:rPr>
      </w:pPr>
      <w:r w:rsidRPr="004E113D">
        <w:rPr>
          <w:szCs w:val="24"/>
        </w:rPr>
        <w:t>(3) Indicar, de corresponder, porcentaje máximo de adjudicación sobre el monto de emisión.</w:t>
      </w:r>
    </w:p>
    <w:p w14:paraId="79079A27" w14:textId="2FC8733E" w:rsidR="00DE4149" w:rsidRPr="004E113D" w:rsidRDefault="00DE4149" w:rsidP="00DE4149">
      <w:pPr>
        <w:pStyle w:val="Default"/>
        <w:jc w:val="both"/>
        <w:rPr>
          <w:rFonts w:ascii="Times New Roman" w:hAnsi="Times New Roman" w:cs="Times New Roman"/>
        </w:rPr>
      </w:pPr>
      <w:r w:rsidRPr="004E113D">
        <w:rPr>
          <w:rFonts w:ascii="Times New Roman" w:hAnsi="Times New Roman" w:cs="Times New Roman"/>
        </w:rPr>
        <w:t>(4) El valor nominal solicitado en el Tramo No Competitivo no podrá superar el 50% del total de las Obligaciones Negociables Clase 2</w:t>
      </w:r>
      <w:r w:rsidR="00EA2441">
        <w:rPr>
          <w:rFonts w:ascii="Times New Roman" w:hAnsi="Times New Roman" w:cs="Times New Roman"/>
        </w:rPr>
        <w:t xml:space="preserve"> Adicionales</w:t>
      </w:r>
      <w:r w:rsidRPr="004E113D">
        <w:rPr>
          <w:rFonts w:ascii="Times New Roman" w:hAnsi="Times New Roman" w:cs="Times New Roman"/>
        </w:rPr>
        <w:t xml:space="preserve"> adjudicadas, salvo que el total de las Órdenes de Compra adjudicadas en el Tramo Competitivo, con más la suma de las Órdenes de Compra adjudicadas bajo el Tramo No Competitivo, sea menor al monto a ser adjudicado, en cuyo caso la cantidad de Órdenes de Compra a ser aceptadas bajo el Tramo No Competitivo podrá incrementarse hasta el porcentaje que permita cubrir el monto total a ser emitido.</w:t>
      </w:r>
    </w:p>
    <w:p w14:paraId="33B1C99F" w14:textId="77777777" w:rsidR="00DE4149" w:rsidRPr="004E113D" w:rsidRDefault="00DE4149" w:rsidP="00DE4149">
      <w:pPr>
        <w:pStyle w:val="Default"/>
        <w:jc w:val="both"/>
        <w:rPr>
          <w:rFonts w:ascii="Times New Roman" w:hAnsi="Times New Roman" w:cs="Times New Roman"/>
        </w:rPr>
      </w:pPr>
    </w:p>
    <w:p w14:paraId="1FCCDD88" w14:textId="13ED073C" w:rsidR="008F434B" w:rsidRPr="008F434B" w:rsidRDefault="008F434B" w:rsidP="008F434B">
      <w:pPr>
        <w:widowControl w:val="0"/>
        <w:ind w:right="-14"/>
        <w:jc w:val="both"/>
        <w:rPr>
          <w:smallCaps/>
          <w:sz w:val="24"/>
          <w:szCs w:val="24"/>
        </w:rPr>
      </w:pPr>
      <w:bookmarkStart w:id="0" w:name="_Hlk199405729"/>
      <w:r w:rsidRPr="008F434B">
        <w:rPr>
          <w:smallCaps/>
          <w:sz w:val="24"/>
          <w:szCs w:val="24"/>
        </w:rPr>
        <w:t>Liquidación. Integración de las Obligaciones Negociables clase 2</w:t>
      </w:r>
      <w:r w:rsidR="00EA2441">
        <w:rPr>
          <w:smallCaps/>
          <w:sz w:val="24"/>
          <w:szCs w:val="24"/>
        </w:rPr>
        <w:t xml:space="preserve"> adicionales</w:t>
      </w:r>
      <w:r w:rsidRPr="008F434B">
        <w:rPr>
          <w:smallCaps/>
          <w:sz w:val="24"/>
          <w:szCs w:val="24"/>
        </w:rPr>
        <w:t>.</w:t>
      </w:r>
    </w:p>
    <w:p w14:paraId="115B677A" w14:textId="4AFBDBE4" w:rsidR="008F434B" w:rsidRPr="008F434B" w:rsidRDefault="008F434B" w:rsidP="008F434B">
      <w:pPr>
        <w:spacing w:after="120"/>
        <w:jc w:val="both"/>
        <w:outlineLvl w:val="0"/>
        <w:rPr>
          <w:sz w:val="24"/>
          <w:szCs w:val="24"/>
        </w:rPr>
      </w:pPr>
      <w:r>
        <w:rPr>
          <w:sz w:val="24"/>
          <w:szCs w:val="24"/>
        </w:rPr>
        <w:t>L</w:t>
      </w:r>
      <w:r w:rsidRPr="008F434B">
        <w:rPr>
          <w:sz w:val="24"/>
          <w:szCs w:val="24"/>
        </w:rPr>
        <w:t xml:space="preserve">a liquidación e integración de las ofertas de obligaciones negociables clase 2 </w:t>
      </w:r>
      <w:r w:rsidR="00EA2441">
        <w:rPr>
          <w:sz w:val="24"/>
          <w:szCs w:val="24"/>
        </w:rPr>
        <w:t xml:space="preserve">adicionales </w:t>
      </w:r>
      <w:r w:rsidRPr="008F434B">
        <w:rPr>
          <w:sz w:val="24"/>
          <w:szCs w:val="24"/>
        </w:rPr>
        <w:t xml:space="preserve">adjudicadas será efectuada a través del sistema de compensación y liquidación administrado por </w:t>
      </w:r>
      <w:r>
        <w:rPr>
          <w:sz w:val="24"/>
          <w:szCs w:val="24"/>
        </w:rPr>
        <w:t>A</w:t>
      </w:r>
      <w:r w:rsidRPr="008F434B">
        <w:rPr>
          <w:sz w:val="24"/>
          <w:szCs w:val="24"/>
        </w:rPr>
        <w:t xml:space="preserve">3 </w:t>
      </w:r>
      <w:r>
        <w:rPr>
          <w:sz w:val="24"/>
          <w:szCs w:val="24"/>
        </w:rPr>
        <w:t>CLEAR</w:t>
      </w:r>
      <w:r w:rsidRPr="008F434B">
        <w:rPr>
          <w:sz w:val="24"/>
          <w:szCs w:val="24"/>
        </w:rPr>
        <w:t xml:space="preserve"> (“</w:t>
      </w:r>
      <w:r>
        <w:rPr>
          <w:sz w:val="24"/>
          <w:szCs w:val="24"/>
        </w:rPr>
        <w:t>CLEAR</w:t>
      </w:r>
      <w:r w:rsidRPr="008F434B">
        <w:rPr>
          <w:sz w:val="24"/>
          <w:szCs w:val="24"/>
        </w:rPr>
        <w:t xml:space="preserve">”). la integración deberá realizarse en efectivo, en la fecha de emisión y liquidación, antes de las 14:00 </w:t>
      </w:r>
      <w:proofErr w:type="spellStart"/>
      <w:r w:rsidRPr="008F434B">
        <w:rPr>
          <w:sz w:val="24"/>
          <w:szCs w:val="24"/>
        </w:rPr>
        <w:t>hs</w:t>
      </w:r>
      <w:proofErr w:type="spellEnd"/>
      <w:r w:rsidRPr="008F434B">
        <w:rPr>
          <w:sz w:val="24"/>
          <w:szCs w:val="24"/>
        </w:rPr>
        <w:t>. de dicha fecha (ver sección “plan de distribución” del suplemento de prospecto).</w:t>
      </w:r>
    </w:p>
    <w:p w14:paraId="7A9D6837" w14:textId="77777777" w:rsidR="008F434B" w:rsidRPr="008F434B" w:rsidRDefault="008F434B" w:rsidP="008F434B">
      <w:pPr>
        <w:spacing w:after="120"/>
        <w:jc w:val="both"/>
        <w:outlineLvl w:val="0"/>
        <w:rPr>
          <w:sz w:val="24"/>
          <w:szCs w:val="24"/>
        </w:rPr>
      </w:pPr>
      <w:r w:rsidRPr="008F434B">
        <w:rPr>
          <w:sz w:val="24"/>
          <w:szCs w:val="24"/>
        </w:rPr>
        <w:t>A continuación, el Oferente deberá indicar cómo solicita que las Obligaciones Negociables sean liquidadas (marcar con una X, según corresponda)</w:t>
      </w:r>
    </w:p>
    <w:p w14:paraId="6DFD31A6" w14:textId="77777777" w:rsidR="008F434B" w:rsidRPr="00D14BEA" w:rsidRDefault="008F434B" w:rsidP="008F434B">
      <w:pPr>
        <w:spacing w:after="120"/>
        <w:jc w:val="both"/>
        <w:outlineLvl w:val="0"/>
        <w:rPr>
          <w:b/>
          <w:u w:val="single"/>
        </w:rPr>
      </w:pPr>
    </w:p>
    <w:p w14:paraId="2566948F" w14:textId="77777777" w:rsidR="008F434B" w:rsidRPr="008F434B" w:rsidRDefault="008F434B" w:rsidP="008F434B">
      <w:pPr>
        <w:spacing w:after="120"/>
        <w:jc w:val="both"/>
        <w:rPr>
          <w:sz w:val="24"/>
          <w:szCs w:val="24"/>
        </w:rPr>
      </w:pPr>
      <w:r w:rsidRPr="008F434B">
        <w:rPr>
          <w:sz w:val="24"/>
          <w:szCs w:val="24"/>
        </w:rPr>
        <w:t>(___) (i) Liquidación por A3 CLEAR:</w:t>
      </w:r>
    </w:p>
    <w:p w14:paraId="6B5DF11D" w14:textId="469CA12E" w:rsidR="008F434B" w:rsidRPr="008F434B" w:rsidRDefault="008F434B" w:rsidP="008F434B">
      <w:pPr>
        <w:spacing w:after="120"/>
        <w:jc w:val="both"/>
        <w:rPr>
          <w:sz w:val="24"/>
          <w:szCs w:val="24"/>
        </w:rPr>
      </w:pPr>
      <w:r w:rsidRPr="008F434B">
        <w:rPr>
          <w:sz w:val="24"/>
          <w:szCs w:val="24"/>
        </w:rPr>
        <w:t xml:space="preserve">El Oferente autoriza a _________ </w:t>
      </w:r>
      <w:proofErr w:type="spellStart"/>
      <w:r w:rsidRPr="008F434B">
        <w:rPr>
          <w:sz w:val="24"/>
          <w:szCs w:val="24"/>
        </w:rPr>
        <w:t>a</w:t>
      </w:r>
      <w:proofErr w:type="spellEnd"/>
      <w:r w:rsidRPr="008F434B">
        <w:rPr>
          <w:sz w:val="24"/>
          <w:szCs w:val="24"/>
        </w:rPr>
        <w:t xml:space="preserve"> realizar la integración y acreditación de las Obligaciones Negociables adjudicadas a través de _________ (indicar razón social), en su carácter de banco custodio del Oferente, a través de A3 CLEAR y de acuerdo con sus procedimientos aplicables; y/o</w:t>
      </w:r>
    </w:p>
    <w:p w14:paraId="0DF7C419" w14:textId="77777777" w:rsidR="008F434B" w:rsidRPr="008F434B" w:rsidRDefault="008F434B" w:rsidP="008F434B">
      <w:pPr>
        <w:spacing w:after="120"/>
        <w:jc w:val="both"/>
        <w:rPr>
          <w:sz w:val="24"/>
          <w:szCs w:val="24"/>
        </w:rPr>
      </w:pPr>
    </w:p>
    <w:p w14:paraId="752AAF8C" w14:textId="77777777" w:rsidR="008F434B" w:rsidRPr="008F434B" w:rsidRDefault="008F434B" w:rsidP="008F434B">
      <w:pPr>
        <w:spacing w:after="120"/>
        <w:jc w:val="both"/>
        <w:rPr>
          <w:sz w:val="24"/>
          <w:szCs w:val="24"/>
        </w:rPr>
      </w:pPr>
      <w:r w:rsidRPr="008F434B">
        <w:rPr>
          <w:sz w:val="24"/>
          <w:szCs w:val="24"/>
        </w:rPr>
        <w:t>(___) (</w:t>
      </w:r>
      <w:proofErr w:type="spellStart"/>
      <w:r w:rsidRPr="008F434B">
        <w:rPr>
          <w:sz w:val="24"/>
          <w:szCs w:val="24"/>
        </w:rPr>
        <w:t>ii</w:t>
      </w:r>
      <w:proofErr w:type="spellEnd"/>
      <w:r w:rsidRPr="008F434B">
        <w:rPr>
          <w:sz w:val="24"/>
          <w:szCs w:val="24"/>
        </w:rPr>
        <w:t>) Liquidación a través del Colocador:</w:t>
      </w:r>
    </w:p>
    <w:p w14:paraId="019D7E1B" w14:textId="77777777" w:rsidR="008F434B" w:rsidRPr="008F434B" w:rsidRDefault="008F434B" w:rsidP="008F434B">
      <w:pPr>
        <w:spacing w:after="120"/>
        <w:jc w:val="both"/>
        <w:rPr>
          <w:sz w:val="24"/>
          <w:szCs w:val="24"/>
        </w:rPr>
      </w:pPr>
      <w:r w:rsidRPr="008F434B">
        <w:rPr>
          <w:sz w:val="24"/>
          <w:szCs w:val="24"/>
        </w:rPr>
        <w:t xml:space="preserve">Siendo titular de la cuenta Depositante N°6 Comitente N° [●] (la “Cuenta Comitente”) abierta en </w:t>
      </w:r>
      <w:proofErr w:type="gramStart"/>
      <w:r w:rsidRPr="008F434B">
        <w:rPr>
          <w:sz w:val="24"/>
          <w:szCs w:val="24"/>
        </w:rPr>
        <w:t>Caja</w:t>
      </w:r>
      <w:proofErr w:type="gramEnd"/>
      <w:r w:rsidRPr="008F434B">
        <w:rPr>
          <w:sz w:val="24"/>
          <w:szCs w:val="24"/>
        </w:rPr>
        <w:t xml:space="preserve"> de Valores S.A., el Oferente: (i) autoriza en forma irrevocable al Colocador a debitar de la </w:t>
      </w:r>
      <w:r w:rsidRPr="008F434B">
        <w:rPr>
          <w:sz w:val="24"/>
          <w:szCs w:val="24"/>
        </w:rPr>
        <w:lastRenderedPageBreak/>
        <w:t>Cuenta Comitente en la Fecha de Emisión y Liquidación, el importe suficiente para cubrir el Monto a Integrar de las Obligaciones Negociables adjudicadas y (</w:t>
      </w:r>
      <w:proofErr w:type="spellStart"/>
      <w:r w:rsidRPr="008F434B">
        <w:rPr>
          <w:sz w:val="24"/>
          <w:szCs w:val="24"/>
        </w:rPr>
        <w:t>ii</w:t>
      </w:r>
      <w:proofErr w:type="spellEnd"/>
      <w:r w:rsidRPr="008F434B">
        <w:rPr>
          <w:sz w:val="24"/>
          <w:szCs w:val="24"/>
        </w:rPr>
        <w:t>) solicita que dichas Obligaciones Negociables adjudicadas se acrediten en la Cuenta Comitente.</w:t>
      </w:r>
    </w:p>
    <w:p w14:paraId="11FB892F" w14:textId="4E4F61F5" w:rsidR="008F434B" w:rsidRPr="008F434B" w:rsidRDefault="008F434B" w:rsidP="008F434B">
      <w:pPr>
        <w:spacing w:after="120"/>
        <w:jc w:val="both"/>
        <w:rPr>
          <w:sz w:val="24"/>
          <w:szCs w:val="24"/>
        </w:rPr>
      </w:pPr>
      <w:r w:rsidRPr="008F434B">
        <w:rPr>
          <w:sz w:val="24"/>
          <w:szCs w:val="24"/>
        </w:rPr>
        <w:t xml:space="preserve">En caso de que el Oferente no abonare el Precio de Emisión mediante la integración en efectivo de acuerdo con cualquiera de los procedimientos descriptos precedentemente en o antes de la Fecha de Emisión y Liquidación, el derecho del Oferente a recibir las Obligaciones Negociables que le hayan sido adjudicadas caducará automáticamente. </w:t>
      </w:r>
    </w:p>
    <w:p w14:paraId="79CA8C77" w14:textId="77777777" w:rsidR="008F434B" w:rsidRPr="008F434B" w:rsidRDefault="008F434B" w:rsidP="008F434B">
      <w:pPr>
        <w:autoSpaceDE w:val="0"/>
        <w:autoSpaceDN w:val="0"/>
        <w:adjustRightInd w:val="0"/>
        <w:spacing w:after="120"/>
        <w:jc w:val="both"/>
        <w:rPr>
          <w:sz w:val="24"/>
          <w:szCs w:val="24"/>
        </w:rPr>
      </w:pPr>
      <w:r w:rsidRPr="008F434B">
        <w:rPr>
          <w:sz w:val="24"/>
          <w:szCs w:val="24"/>
        </w:rPr>
        <w:t>El Colocador no asumen ningún tipo de responsabilidad por la falta de pago del Precio de las Obligaciones Negociables por parte de los Oferentes.</w:t>
      </w:r>
    </w:p>
    <w:bookmarkEnd w:id="0"/>
    <w:p w14:paraId="33F1B9E4" w14:textId="6A7BA601" w:rsidR="00DE4149" w:rsidRPr="004E113D" w:rsidRDefault="00DE4149" w:rsidP="008F434B">
      <w:pPr>
        <w:widowControl w:val="0"/>
        <w:ind w:right="-14"/>
        <w:jc w:val="both"/>
        <w:rPr>
          <w:smallCaps/>
          <w:sz w:val="24"/>
          <w:szCs w:val="24"/>
        </w:rPr>
      </w:pPr>
    </w:p>
    <w:p w14:paraId="5B751E8B" w14:textId="31F89C36" w:rsidR="00DE4149" w:rsidRPr="004E113D" w:rsidRDefault="00DE4149" w:rsidP="00DE4149">
      <w:pPr>
        <w:ind w:right="-14"/>
        <w:jc w:val="both"/>
        <w:rPr>
          <w:sz w:val="24"/>
          <w:szCs w:val="24"/>
        </w:rPr>
      </w:pPr>
      <w:r w:rsidRPr="004E113D">
        <w:rPr>
          <w:smallCaps/>
          <w:sz w:val="24"/>
          <w:szCs w:val="24"/>
        </w:rPr>
        <w:t>Prevención del Lavado de Dinero y financiamiento del terrorismo.</w:t>
      </w:r>
      <w:r w:rsidRPr="004E113D">
        <w:rPr>
          <w:sz w:val="24"/>
          <w:szCs w:val="24"/>
        </w:rPr>
        <w:t xml:space="preserve"> En cumplimiento de lo dispuesto por la Unidad de Información Financiera, el Oferente por la presente declara bajo juramento que los fondos y valores que corresponden a la suscripción de las Obligaciones Negociables Clase 2</w:t>
      </w:r>
      <w:r w:rsidR="00CE134D">
        <w:rPr>
          <w:sz w:val="24"/>
          <w:szCs w:val="24"/>
        </w:rPr>
        <w:t xml:space="preserve"> Adicionales</w:t>
      </w:r>
      <w:r w:rsidRPr="004E113D">
        <w:rPr>
          <w:sz w:val="24"/>
          <w:szCs w:val="24"/>
        </w:rPr>
        <w:t xml:space="preserve"> son provenientes de actividades lícitas relacionadas con su actividad declarada. También en carácter de declaración jurada manifiesta que las informaciones consignadas en la presente y para los registros de esa entidad son exactas y verdaderas y que tiene conocimiento de la Ley N° 25.246 (y sus modificatorias y complementarias, la “</w:t>
      </w:r>
      <w:r w:rsidRPr="004E113D">
        <w:rPr>
          <w:sz w:val="24"/>
          <w:szCs w:val="24"/>
          <w:u w:val="single"/>
        </w:rPr>
        <w:t>Ley de Prevención del Lavado de Activos y Financiación del Terrorismo</w:t>
      </w:r>
      <w:r w:rsidRPr="004E113D">
        <w:rPr>
          <w:sz w:val="24"/>
          <w:szCs w:val="24"/>
        </w:rPr>
        <w:t>”) y demás normas que sean aplicables y relacionadas con el lavado de dinero, incluyendo, sin limitación, la Resolución N° 126/2023 de la Unidad de Información Financiera, y sus modificatorias.</w:t>
      </w:r>
    </w:p>
    <w:p w14:paraId="3721959C" w14:textId="77777777" w:rsidR="00DE4149" w:rsidRPr="004E113D" w:rsidRDefault="00DE4149" w:rsidP="00DE4149">
      <w:pPr>
        <w:ind w:right="-271"/>
        <w:jc w:val="both"/>
        <w:rPr>
          <w:sz w:val="24"/>
          <w:szCs w:val="24"/>
        </w:rPr>
      </w:pPr>
    </w:p>
    <w:p w14:paraId="1E7556B8" w14:textId="77777777" w:rsidR="00DE4149" w:rsidRPr="004E113D" w:rsidRDefault="00DE4149" w:rsidP="00DE4149">
      <w:pPr>
        <w:widowControl w:val="0"/>
        <w:tabs>
          <w:tab w:val="left" w:pos="-2244"/>
        </w:tabs>
        <w:ind w:right="-17"/>
        <w:jc w:val="both"/>
        <w:rPr>
          <w:sz w:val="24"/>
          <w:szCs w:val="24"/>
          <w:lang w:val="es-ES_tradnl"/>
        </w:rPr>
      </w:pPr>
      <w:r w:rsidRPr="004E113D">
        <w:rPr>
          <w:sz w:val="24"/>
          <w:szCs w:val="24"/>
        </w:rPr>
        <w:t>Asimismo, el Oferente toma conocimiento que el Agente Colocador se encuentra facultado a requerir toda la información necesaria para dar cumplimiento a la Resolución General N° 622/13 de la Comisión Nacional de Valores (tal como fuera modificada y completada, las “</w:t>
      </w:r>
      <w:r w:rsidRPr="004E113D">
        <w:rPr>
          <w:sz w:val="24"/>
          <w:szCs w:val="24"/>
          <w:u w:val="single"/>
        </w:rPr>
        <w:t>Normas de la CNV</w:t>
      </w:r>
      <w:r w:rsidRPr="004E113D">
        <w:rPr>
          <w:sz w:val="24"/>
          <w:szCs w:val="24"/>
        </w:rPr>
        <w:t xml:space="preserve">”) y la Resolución N° 78/2023, según sea aplicable, de la Unidad de Información Financiera, y demás normas que sean aplicables y relacionadas con el lavado de dinero. En consecuencia, el Oferente se compromete a colaborar con el Agente Colocador, mediante el suministro de información, la entrega de documentación e informes, así como la provisión de todos aquellos datos que sean necesarios y/o convenientes para que el Agente Colocador </w:t>
      </w:r>
      <w:r w:rsidRPr="004E113D">
        <w:rPr>
          <w:sz w:val="24"/>
          <w:szCs w:val="24"/>
          <w:lang w:val="es-ES_tradnl"/>
        </w:rPr>
        <w:t>pueda dar acabado cumplimiento a las obligaciones aquí previstas.</w:t>
      </w:r>
    </w:p>
    <w:p w14:paraId="168C8A8B" w14:textId="77777777" w:rsidR="00DE4149" w:rsidRPr="004E113D" w:rsidRDefault="00DE4149" w:rsidP="00DE4149">
      <w:pPr>
        <w:widowControl w:val="0"/>
        <w:tabs>
          <w:tab w:val="left" w:pos="-2244"/>
        </w:tabs>
        <w:ind w:right="-17"/>
        <w:jc w:val="both"/>
        <w:rPr>
          <w:sz w:val="24"/>
          <w:szCs w:val="24"/>
          <w:lang w:val="es-ES_tradnl"/>
        </w:rPr>
      </w:pPr>
    </w:p>
    <w:p w14:paraId="28ABA4BB" w14:textId="77777777" w:rsidR="00DE4149" w:rsidRPr="004E113D" w:rsidRDefault="00DE4149" w:rsidP="00DE4149">
      <w:pPr>
        <w:widowControl w:val="0"/>
        <w:tabs>
          <w:tab w:val="left" w:pos="-2244"/>
        </w:tabs>
        <w:ind w:right="-17"/>
        <w:jc w:val="both"/>
        <w:rPr>
          <w:sz w:val="24"/>
          <w:szCs w:val="24"/>
        </w:rPr>
      </w:pPr>
      <w:r w:rsidRPr="004E113D">
        <w:rPr>
          <w:sz w:val="24"/>
          <w:szCs w:val="24"/>
        </w:rPr>
        <w:t>El Oferente manifiesta con carácter de declaración jurada que los fondos no provienen de países considerados “</w:t>
      </w:r>
      <w:r w:rsidRPr="004E113D">
        <w:rPr>
          <w:i/>
          <w:sz w:val="24"/>
          <w:szCs w:val="24"/>
        </w:rPr>
        <w:t>no cooperantes</w:t>
      </w:r>
      <w:r w:rsidRPr="004E113D">
        <w:rPr>
          <w:sz w:val="24"/>
          <w:szCs w:val="24"/>
        </w:rPr>
        <w:t>” a los fines de la transparencia fiscal según los términos del Decreto Nº 862/2019 y sus modificatorios y que las informaciones consignadas en la presente para los registros del Agente Colocador son exactas y verdaderas.</w:t>
      </w:r>
    </w:p>
    <w:p w14:paraId="5BDB502E" w14:textId="77777777" w:rsidR="00DE4149" w:rsidRPr="004E113D" w:rsidRDefault="00DE4149" w:rsidP="00DE4149">
      <w:pPr>
        <w:widowControl w:val="0"/>
        <w:tabs>
          <w:tab w:val="left" w:pos="-2244"/>
        </w:tabs>
        <w:ind w:right="-17"/>
        <w:jc w:val="both"/>
        <w:rPr>
          <w:sz w:val="24"/>
          <w:szCs w:val="24"/>
        </w:rPr>
      </w:pPr>
    </w:p>
    <w:p w14:paraId="079FE209" w14:textId="77777777" w:rsidR="00DE4149" w:rsidRPr="004E113D" w:rsidRDefault="00DE4149" w:rsidP="00DE4149">
      <w:pPr>
        <w:widowControl w:val="0"/>
        <w:tabs>
          <w:tab w:val="left" w:pos="-2244"/>
        </w:tabs>
        <w:ind w:right="-17"/>
        <w:jc w:val="both"/>
        <w:rPr>
          <w:sz w:val="24"/>
          <w:szCs w:val="24"/>
        </w:rPr>
      </w:pPr>
      <w:r w:rsidRPr="004E113D">
        <w:rPr>
          <w:noProof/>
          <w:sz w:val="24"/>
          <w:szCs w:val="24"/>
          <w:lang w:eastAsia="es-AR"/>
        </w:rPr>
        <mc:AlternateContent>
          <mc:Choice Requires="wps">
            <w:drawing>
              <wp:inline distT="0" distB="0" distL="0" distR="0" wp14:anchorId="45ABFCEB" wp14:editId="7212A872">
                <wp:extent cx="5661025" cy="906449"/>
                <wp:effectExtent l="0" t="0" r="15875" b="27305"/>
                <wp:docPr id="60562813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906449"/>
                        </a:xfrm>
                        <a:prstGeom prst="rect">
                          <a:avLst/>
                        </a:prstGeom>
                        <a:solidFill>
                          <a:srgbClr val="FFFFFF"/>
                        </a:solidFill>
                        <a:ln w="9525">
                          <a:solidFill>
                            <a:srgbClr val="000000"/>
                          </a:solidFill>
                          <a:miter lim="800000"/>
                          <a:headEnd/>
                          <a:tailEnd/>
                        </a:ln>
                      </wps:spPr>
                      <wps:txbx>
                        <w:txbxContent>
                          <w:p w14:paraId="1833EBBA" w14:textId="77777777" w:rsidR="00DE4149" w:rsidRPr="002E4874" w:rsidRDefault="00DE4149" w:rsidP="00DE4149">
                            <w:pPr>
                              <w:widowControl w:val="0"/>
                              <w:tabs>
                                <w:tab w:val="left" w:pos="-2244"/>
                              </w:tabs>
                              <w:ind w:right="-17"/>
                              <w:jc w:val="both"/>
                              <w:rPr>
                                <w:sz w:val="22"/>
                                <w:szCs w:val="22"/>
                              </w:rPr>
                            </w:pPr>
                            <w:r w:rsidRPr="002E4874">
                              <w:rPr>
                                <w:sz w:val="22"/>
                                <w:szCs w:val="22"/>
                              </w:rPr>
                              <w:t>Por último, en cumplimiento de lo dispuesto</w:t>
                            </w:r>
                            <w:r>
                              <w:rPr>
                                <w:sz w:val="22"/>
                                <w:szCs w:val="22"/>
                              </w:rPr>
                              <w:t xml:space="preserve"> por la </w:t>
                            </w:r>
                            <w:r w:rsidRPr="002E4874">
                              <w:rPr>
                                <w:sz w:val="22"/>
                                <w:szCs w:val="22"/>
                              </w:rPr>
                              <w:t>Resolución</w:t>
                            </w:r>
                            <w:r>
                              <w:rPr>
                                <w:sz w:val="22"/>
                                <w:szCs w:val="22"/>
                              </w:rPr>
                              <w:t xml:space="preserve"> 35/2023</w:t>
                            </w:r>
                            <w:r w:rsidRPr="002E4874">
                              <w:rPr>
                                <w:sz w:val="22"/>
                                <w:szCs w:val="22"/>
                              </w:rPr>
                              <w:t xml:space="preserve"> (modificada por la Resolución </w:t>
                            </w:r>
                            <w:r>
                              <w:rPr>
                                <w:sz w:val="22"/>
                                <w:szCs w:val="22"/>
                              </w:rPr>
                              <w:t>192/2024</w:t>
                            </w:r>
                            <w:r w:rsidRPr="002E4874">
                              <w:rPr>
                                <w:sz w:val="22"/>
                                <w:szCs w:val="22"/>
                              </w:rPr>
                              <w:t>)</w:t>
                            </w:r>
                            <w:r>
                              <w:rPr>
                                <w:sz w:val="22"/>
                                <w:szCs w:val="22"/>
                              </w:rPr>
                              <w:t xml:space="preserve"> </w:t>
                            </w:r>
                            <w:r w:rsidRPr="002E4874">
                              <w:rPr>
                                <w:sz w:val="22"/>
                                <w:szCs w:val="22"/>
                              </w:rPr>
                              <w:t>de la Unidad de Información Financiera</w:t>
                            </w:r>
                            <w:r>
                              <w:rPr>
                                <w:sz w:val="22"/>
                                <w:szCs w:val="22"/>
                              </w:rPr>
                              <w:t xml:space="preserve"> </w:t>
                            </w:r>
                            <w:r w:rsidRPr="002E4874">
                              <w:rPr>
                                <w:sz w:val="22"/>
                                <w:szCs w:val="22"/>
                              </w:rPr>
                              <w:t>(según fuera modificada y/o complementada), el Oferente manifiesta con carácter de declaración jurada que [</w:t>
                            </w:r>
                            <w:r w:rsidRPr="002E4874">
                              <w:rPr>
                                <w:b/>
                                <w:sz w:val="22"/>
                                <w:szCs w:val="22"/>
                              </w:rPr>
                              <w:t>SÍ] [NO</w:t>
                            </w:r>
                            <w:r w:rsidRPr="002E4874">
                              <w:rPr>
                                <w:sz w:val="22"/>
                                <w:szCs w:val="22"/>
                              </w:rPr>
                              <w:t>] es una Persona Políticamente Expuesta, en los términos de dicha resolución y sus modificatorias.</w:t>
                            </w:r>
                          </w:p>
                          <w:p w14:paraId="1AE6F44C" w14:textId="77777777" w:rsidR="00DE4149" w:rsidRPr="002E4874" w:rsidRDefault="00DE4149" w:rsidP="00DE4149">
                            <w:pPr>
                              <w:widowControl w:val="0"/>
                              <w:tabs>
                                <w:tab w:val="left" w:pos="-2244"/>
                              </w:tabs>
                              <w:ind w:right="-17"/>
                              <w:jc w:val="both"/>
                              <w:rPr>
                                <w:sz w:val="22"/>
                                <w:szCs w:val="22"/>
                              </w:rPr>
                            </w:pPr>
                          </w:p>
                        </w:txbxContent>
                      </wps:txbx>
                      <wps:bodyPr rot="0" vert="horz" wrap="square" lIns="91440" tIns="45720" rIns="91440" bIns="45720" anchor="t" anchorCtr="0" upright="1">
                        <a:noAutofit/>
                      </wps:bodyPr>
                    </wps:wsp>
                  </a:graphicData>
                </a:graphic>
              </wp:inline>
            </w:drawing>
          </mc:Choice>
          <mc:Fallback>
            <w:pict>
              <v:shapetype w14:anchorId="45ABFCEB" id="_x0000_t202" coordsize="21600,21600" o:spt="202" path="m,l,21600r21600,l21600,xe">
                <v:stroke joinstyle="miter"/>
                <v:path gradientshapeok="t" o:connecttype="rect"/>
              </v:shapetype>
              <v:shape id="Cuadro de texto 1" o:spid="_x0000_s1026" type="#_x0000_t202" style="width:445.75pt;height: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">
                <v:textbox>
                  <w:txbxContent>
                    <w:p w14:paraId="1833EBBA" w14:textId="77777777" w:rsidR="00DE4149" w:rsidRPr="002E4874" w:rsidRDefault="00DE4149" w:rsidP="00DE4149">
                      <w:pPr>
                        <w:widowControl w:val="0"/>
                        <w:tabs>
                          <w:tab w:val="left" w:pos="-2244"/>
                        </w:tabs>
                        <w:ind w:right="-17"/>
                        <w:jc w:val="both"/>
                        <w:rPr>
                          <w:sz w:val="22"/>
                          <w:szCs w:val="22"/>
                        </w:rPr>
                      </w:pPr>
                      <w:r w:rsidRPr="002E4874">
                        <w:rPr>
                          <w:sz w:val="22"/>
                          <w:szCs w:val="22"/>
                        </w:rPr>
                        <w:t>Por último, en cumplimiento de lo dispuesto</w:t>
                      </w:r>
                      <w:r>
                        <w:rPr>
                          <w:sz w:val="22"/>
                          <w:szCs w:val="22"/>
                        </w:rPr>
                        <w:t xml:space="preserve"> por la </w:t>
                      </w:r>
                      <w:r w:rsidRPr="002E4874">
                        <w:rPr>
                          <w:sz w:val="22"/>
                          <w:szCs w:val="22"/>
                        </w:rPr>
                        <w:t>Resolución</w:t>
                      </w:r>
                      <w:r>
                        <w:rPr>
                          <w:sz w:val="22"/>
                          <w:szCs w:val="22"/>
                        </w:rPr>
                        <w:t xml:space="preserve"> 35/2023</w:t>
                      </w:r>
                      <w:r w:rsidRPr="002E4874">
                        <w:rPr>
                          <w:sz w:val="22"/>
                          <w:szCs w:val="22"/>
                        </w:rPr>
                        <w:t xml:space="preserve"> (modificada por la Resolución </w:t>
                      </w:r>
                      <w:r>
                        <w:rPr>
                          <w:sz w:val="22"/>
                          <w:szCs w:val="22"/>
                        </w:rPr>
                        <w:t>192/2024</w:t>
                      </w:r>
                      <w:r w:rsidRPr="002E4874">
                        <w:rPr>
                          <w:sz w:val="22"/>
                          <w:szCs w:val="22"/>
                        </w:rPr>
                        <w:t>)</w:t>
                      </w:r>
                      <w:r>
                        <w:rPr>
                          <w:sz w:val="22"/>
                          <w:szCs w:val="22"/>
                        </w:rPr>
                        <w:t xml:space="preserve"> </w:t>
                      </w:r>
                      <w:r w:rsidRPr="002E4874">
                        <w:rPr>
                          <w:sz w:val="22"/>
                          <w:szCs w:val="22"/>
                        </w:rPr>
                        <w:t>de la Unidad de Información Financiera</w:t>
                      </w:r>
                      <w:r>
                        <w:rPr>
                          <w:sz w:val="22"/>
                          <w:szCs w:val="22"/>
                        </w:rPr>
                        <w:t xml:space="preserve"> </w:t>
                      </w:r>
                      <w:r w:rsidRPr="002E4874">
                        <w:rPr>
                          <w:sz w:val="22"/>
                          <w:szCs w:val="22"/>
                        </w:rPr>
                        <w:t>(según fuera modificada y/o complementada), el Oferente manifiesta con carácter de declaración jurada que [</w:t>
                      </w:r>
                      <w:r w:rsidRPr="002E4874">
                        <w:rPr>
                          <w:b/>
                          <w:sz w:val="22"/>
                          <w:szCs w:val="22"/>
                        </w:rPr>
                        <w:t>SÍ] [NO</w:t>
                      </w:r>
                      <w:r w:rsidRPr="002E4874">
                        <w:rPr>
                          <w:sz w:val="22"/>
                          <w:szCs w:val="22"/>
                        </w:rPr>
                        <w:t>] es una Persona Políticamente Expuesta, en los términos de dicha resolución y sus modificatorias.</w:t>
                      </w:r>
                    </w:p>
                    <w:p w14:paraId="1AE6F44C" w14:textId="77777777" w:rsidR="00DE4149" w:rsidRPr="002E4874" w:rsidRDefault="00DE4149" w:rsidP="00DE4149">
                      <w:pPr>
                        <w:widowControl w:val="0"/>
                        <w:tabs>
                          <w:tab w:val="left" w:pos="-2244"/>
                        </w:tabs>
                        <w:ind w:right="-17"/>
                        <w:jc w:val="both"/>
                        <w:rPr>
                          <w:sz w:val="22"/>
                          <w:szCs w:val="22"/>
                        </w:rPr>
                      </w:pPr>
                    </w:p>
                  </w:txbxContent>
                </v:textbox>
                <w10:anchorlock/>
              </v:shape>
            </w:pict>
          </mc:Fallback>
        </mc:AlternateContent>
      </w:r>
    </w:p>
    <w:p w14:paraId="1BAF2746" w14:textId="77777777" w:rsidR="00DE4149" w:rsidRPr="004E113D" w:rsidRDefault="00DE4149" w:rsidP="00DE4149">
      <w:pPr>
        <w:widowControl w:val="0"/>
        <w:tabs>
          <w:tab w:val="left" w:pos="-2244"/>
        </w:tabs>
        <w:ind w:right="-17"/>
        <w:jc w:val="both"/>
        <w:rPr>
          <w:sz w:val="24"/>
          <w:szCs w:val="24"/>
        </w:rPr>
      </w:pPr>
    </w:p>
    <w:p w14:paraId="29825E28" w14:textId="39BC12FC" w:rsidR="00DE4149" w:rsidRPr="004E113D" w:rsidRDefault="00DE4149" w:rsidP="00DE4149">
      <w:pPr>
        <w:widowControl w:val="0"/>
        <w:tabs>
          <w:tab w:val="left" w:pos="-2244"/>
        </w:tabs>
        <w:ind w:right="-17"/>
        <w:jc w:val="both"/>
        <w:rPr>
          <w:sz w:val="24"/>
          <w:szCs w:val="24"/>
        </w:rPr>
      </w:pPr>
      <w:r w:rsidRPr="004E113D">
        <w:rPr>
          <w:smallCaps/>
          <w:sz w:val="24"/>
          <w:szCs w:val="24"/>
        </w:rPr>
        <w:t xml:space="preserve">No Integración. </w:t>
      </w:r>
      <w:r w:rsidRPr="004E113D">
        <w:rPr>
          <w:sz w:val="24"/>
          <w:szCs w:val="24"/>
        </w:rPr>
        <w:t>En el caso que el Oferente no abonare el precio de suscripción de las Obligaciones Negociables Clase 2</w:t>
      </w:r>
      <w:r w:rsidR="00EA2441">
        <w:rPr>
          <w:sz w:val="24"/>
          <w:szCs w:val="24"/>
        </w:rPr>
        <w:t xml:space="preserve"> Adicionales</w:t>
      </w:r>
      <w:r w:rsidRPr="004E113D">
        <w:rPr>
          <w:sz w:val="24"/>
          <w:szCs w:val="24"/>
        </w:rPr>
        <w:t xml:space="preserve">, </w:t>
      </w:r>
      <w:r w:rsidRPr="004E113D">
        <w:rPr>
          <w:rFonts w:eastAsia="MS Mincho"/>
          <w:bCs/>
          <w:sz w:val="24"/>
          <w:szCs w:val="24"/>
        </w:rPr>
        <w:t>de conformidad con lo establecido</w:t>
      </w:r>
      <w:r w:rsidRPr="004E113D" w:rsidDel="00BB1A26">
        <w:rPr>
          <w:sz w:val="24"/>
          <w:szCs w:val="24"/>
        </w:rPr>
        <w:t xml:space="preserve"> </w:t>
      </w:r>
      <w:r w:rsidRPr="004E113D">
        <w:rPr>
          <w:sz w:val="24"/>
          <w:szCs w:val="24"/>
        </w:rPr>
        <w:t xml:space="preserve">más arriba, será de aplicación lo dispuesto para tal circunstancia en la sección </w:t>
      </w:r>
      <w:r w:rsidRPr="004E113D">
        <w:rPr>
          <w:rFonts w:eastAsia="MS Mincho"/>
          <w:sz w:val="24"/>
          <w:szCs w:val="24"/>
        </w:rPr>
        <w:t>“</w:t>
      </w:r>
      <w:r w:rsidRPr="004E113D">
        <w:rPr>
          <w:rFonts w:eastAsia="MS Mincho"/>
          <w:i/>
          <w:sz w:val="24"/>
          <w:szCs w:val="24"/>
        </w:rPr>
        <w:t>Plan de Distribución</w:t>
      </w:r>
      <w:r w:rsidRPr="004E113D">
        <w:rPr>
          <w:rFonts w:eastAsia="MS Mincho"/>
          <w:sz w:val="24"/>
          <w:szCs w:val="24"/>
        </w:rPr>
        <w:t>”</w:t>
      </w:r>
      <w:r w:rsidRPr="004E113D">
        <w:rPr>
          <w:i/>
          <w:sz w:val="24"/>
          <w:szCs w:val="24"/>
        </w:rPr>
        <w:t xml:space="preserve"> </w:t>
      </w:r>
      <w:r w:rsidRPr="004E113D">
        <w:rPr>
          <w:sz w:val="24"/>
          <w:szCs w:val="24"/>
        </w:rPr>
        <w:t xml:space="preserve">del </w:t>
      </w:r>
      <w:r w:rsidRPr="004E113D">
        <w:rPr>
          <w:sz w:val="24"/>
          <w:szCs w:val="24"/>
        </w:rPr>
        <w:lastRenderedPageBreak/>
        <w:t>Suplemento de Prospecto. La Emisora y el Agente Colocador no asumirán ningún tipo de responsabilidad por el incumplimiento del Oferente en la integración de las Obligaciones Negociables Clase 2</w:t>
      </w:r>
      <w:r w:rsidR="00CE134D">
        <w:rPr>
          <w:sz w:val="24"/>
          <w:szCs w:val="24"/>
        </w:rPr>
        <w:t xml:space="preserve"> Adicionales</w:t>
      </w:r>
      <w:r w:rsidRPr="004E113D">
        <w:rPr>
          <w:sz w:val="24"/>
          <w:szCs w:val="24"/>
        </w:rPr>
        <w:t>.</w:t>
      </w:r>
    </w:p>
    <w:p w14:paraId="0962E114" w14:textId="77777777" w:rsidR="00DE4149" w:rsidRPr="004E113D" w:rsidRDefault="00DE4149" w:rsidP="00DE4149">
      <w:pPr>
        <w:widowControl w:val="0"/>
        <w:ind w:right="-14"/>
        <w:jc w:val="both"/>
        <w:rPr>
          <w:smallCaps/>
          <w:sz w:val="24"/>
          <w:szCs w:val="24"/>
        </w:rPr>
      </w:pPr>
    </w:p>
    <w:p w14:paraId="316166C0" w14:textId="79CFB90E" w:rsidR="00DE4149" w:rsidRPr="004E113D" w:rsidRDefault="00DE4149" w:rsidP="00DE4149">
      <w:pPr>
        <w:widowControl w:val="0"/>
        <w:ind w:right="-14"/>
        <w:jc w:val="both"/>
        <w:rPr>
          <w:sz w:val="24"/>
          <w:szCs w:val="24"/>
        </w:rPr>
      </w:pPr>
      <w:r w:rsidRPr="004E113D">
        <w:rPr>
          <w:smallCaps/>
          <w:sz w:val="24"/>
          <w:szCs w:val="24"/>
        </w:rPr>
        <w:t>Tasa Solicitada y cantidad de Obligaciones Negociables</w:t>
      </w:r>
      <w:r w:rsidRPr="004E113D">
        <w:rPr>
          <w:sz w:val="24"/>
          <w:szCs w:val="24"/>
        </w:rPr>
        <w:t xml:space="preserve"> </w:t>
      </w:r>
      <w:r w:rsidRPr="004E113D">
        <w:rPr>
          <w:smallCaps/>
          <w:sz w:val="24"/>
          <w:szCs w:val="24"/>
        </w:rPr>
        <w:t>a ser colocadas</w:t>
      </w:r>
      <w:r w:rsidRPr="004E113D">
        <w:rPr>
          <w:sz w:val="24"/>
          <w:szCs w:val="24"/>
        </w:rPr>
        <w:t xml:space="preserve">. El Oferente acepta que, no obstante, la Tasa Solicitada y el valor nominal de Obligaciones Negociables Clase 2 </w:t>
      </w:r>
      <w:r w:rsidR="00CE134D">
        <w:rPr>
          <w:sz w:val="24"/>
          <w:szCs w:val="24"/>
        </w:rPr>
        <w:t xml:space="preserve">Adicionales </w:t>
      </w:r>
      <w:r w:rsidRPr="004E113D">
        <w:rPr>
          <w:sz w:val="24"/>
          <w:szCs w:val="24"/>
        </w:rPr>
        <w:t>solicitado en esta Orden de Compra, dichos parámetros serán determinados conforme a lo establecido en la sección</w:t>
      </w:r>
      <w:r w:rsidRPr="004E113D">
        <w:rPr>
          <w:i/>
          <w:sz w:val="24"/>
          <w:szCs w:val="24"/>
        </w:rPr>
        <w:t xml:space="preserve"> </w:t>
      </w:r>
      <w:r w:rsidRPr="004E113D">
        <w:rPr>
          <w:rFonts w:eastAsia="MS Mincho"/>
          <w:sz w:val="24"/>
          <w:szCs w:val="24"/>
        </w:rPr>
        <w:t>“</w:t>
      </w:r>
      <w:r w:rsidRPr="004E113D">
        <w:rPr>
          <w:rFonts w:eastAsia="MS Mincho"/>
          <w:i/>
          <w:sz w:val="24"/>
          <w:szCs w:val="24"/>
        </w:rPr>
        <w:t>Plan de Distribución</w:t>
      </w:r>
      <w:r w:rsidRPr="004E113D">
        <w:rPr>
          <w:rFonts w:eastAsia="MS Mincho"/>
          <w:sz w:val="24"/>
          <w:szCs w:val="24"/>
        </w:rPr>
        <w:t>”</w:t>
      </w:r>
      <w:r w:rsidRPr="004E113D">
        <w:rPr>
          <w:i/>
          <w:sz w:val="24"/>
          <w:szCs w:val="24"/>
        </w:rPr>
        <w:t xml:space="preserve"> </w:t>
      </w:r>
      <w:r w:rsidRPr="004E113D">
        <w:rPr>
          <w:sz w:val="24"/>
          <w:szCs w:val="24"/>
        </w:rPr>
        <w:t>del Suplemento de Prospecto mediante el sistema de adjudicación dispuesto por el Sistema SIOPEL, y que ni la Emisora ni el Agente Colocador garantizan que se le adjudicará el mismo valor nominal de Obligaciones Negociables Clase 2</w:t>
      </w:r>
      <w:r w:rsidR="00CE134D">
        <w:rPr>
          <w:sz w:val="24"/>
          <w:szCs w:val="24"/>
        </w:rPr>
        <w:t xml:space="preserve"> Adicionales</w:t>
      </w:r>
      <w:r w:rsidRPr="004E113D">
        <w:rPr>
          <w:sz w:val="24"/>
          <w:szCs w:val="24"/>
        </w:rPr>
        <w:t xml:space="preserve"> solicitado.</w:t>
      </w:r>
    </w:p>
    <w:p w14:paraId="00AFAD38" w14:textId="77777777" w:rsidR="00DE4149" w:rsidRPr="004E113D" w:rsidRDefault="00DE4149" w:rsidP="00DE4149">
      <w:pPr>
        <w:widowControl w:val="0"/>
        <w:ind w:right="-14"/>
        <w:jc w:val="both"/>
        <w:rPr>
          <w:sz w:val="24"/>
          <w:szCs w:val="24"/>
        </w:rPr>
      </w:pPr>
    </w:p>
    <w:p w14:paraId="6E94EC2C" w14:textId="205D4F4A" w:rsidR="00DE4149" w:rsidRPr="004E113D" w:rsidRDefault="00DE4149" w:rsidP="00DE4149">
      <w:pPr>
        <w:widowControl w:val="0"/>
        <w:autoSpaceDE w:val="0"/>
        <w:autoSpaceDN w:val="0"/>
        <w:adjustRightInd w:val="0"/>
        <w:jc w:val="both"/>
        <w:rPr>
          <w:sz w:val="24"/>
          <w:szCs w:val="24"/>
        </w:rPr>
      </w:pPr>
      <w:r w:rsidRPr="004E113D">
        <w:rPr>
          <w:smallCaps/>
          <w:sz w:val="24"/>
          <w:szCs w:val="24"/>
        </w:rPr>
        <w:t xml:space="preserve">Responsabilidad. </w:t>
      </w:r>
      <w:r w:rsidRPr="004E113D">
        <w:rPr>
          <w:sz w:val="24"/>
          <w:szCs w:val="24"/>
        </w:rPr>
        <w:t>Con excepción de lo dispuesto en el art. 120 de la Ley N° 26.831, según fuera modificada, (la “</w:t>
      </w:r>
      <w:r w:rsidRPr="004E113D">
        <w:rPr>
          <w:sz w:val="24"/>
          <w:szCs w:val="24"/>
          <w:u w:val="single"/>
        </w:rPr>
        <w:t>Ley de Mercado de Capitales</w:t>
      </w:r>
      <w:r w:rsidRPr="004E113D">
        <w:rPr>
          <w:sz w:val="24"/>
          <w:szCs w:val="24"/>
        </w:rPr>
        <w:t>”)</w:t>
      </w:r>
      <w:r w:rsidRPr="004E113D">
        <w:rPr>
          <w:smallCaps/>
          <w:sz w:val="24"/>
          <w:szCs w:val="24"/>
        </w:rPr>
        <w:t>,</w:t>
      </w:r>
      <w:r w:rsidRPr="004E113D">
        <w:rPr>
          <w:sz w:val="24"/>
          <w:szCs w:val="24"/>
        </w:rPr>
        <w:t xml:space="preserve"> el Agente Colocador no asume ningún tipo de responsabilidad por los daños y perjuicios que pudiere sufrir el Oferente, directa o indirectamente relacionados con la Transacción y/o con las Obligaciones Negociables Clase 2</w:t>
      </w:r>
      <w:r w:rsidR="00CE134D">
        <w:rPr>
          <w:sz w:val="24"/>
          <w:szCs w:val="24"/>
        </w:rPr>
        <w:t xml:space="preserve"> Adicionales</w:t>
      </w:r>
      <w:r w:rsidRPr="004E113D">
        <w:rPr>
          <w:sz w:val="24"/>
          <w:szCs w:val="24"/>
        </w:rPr>
        <w:t>, sea cual fuere el origen de tales daños y perjuicios, salvo en caso de culpa grave o dolo del Agente Colocador, determinada como tal por una sentencia firme de un tribunal competente. En particular, el Agente Colocador no responderá ante el Oferente en ningún caso por la solvencia o incumplimiento de las entidades, instituciones y personas con las que opere o realice las transacciones directa o indirectamente relacionadas con la transacción y/o con las Obligaciones Negociables Clase 2</w:t>
      </w:r>
      <w:r w:rsidR="00CE134D">
        <w:rPr>
          <w:sz w:val="24"/>
          <w:szCs w:val="24"/>
        </w:rPr>
        <w:t xml:space="preserve"> Adicionales</w:t>
      </w:r>
      <w:r w:rsidRPr="004E113D">
        <w:rPr>
          <w:sz w:val="24"/>
          <w:szCs w:val="24"/>
        </w:rPr>
        <w:t>.</w:t>
      </w:r>
    </w:p>
    <w:p w14:paraId="623541FB" w14:textId="77777777" w:rsidR="00DE4149" w:rsidRPr="004E113D" w:rsidRDefault="00DE4149" w:rsidP="00DE4149">
      <w:pPr>
        <w:rPr>
          <w:sz w:val="24"/>
          <w:szCs w:val="24"/>
        </w:rPr>
      </w:pPr>
    </w:p>
    <w:p w14:paraId="30311213" w14:textId="39B55719" w:rsidR="00DE4149" w:rsidRPr="004E113D" w:rsidRDefault="00DE4149" w:rsidP="00DE4149">
      <w:pPr>
        <w:jc w:val="both"/>
        <w:rPr>
          <w:b/>
          <w:sz w:val="24"/>
          <w:szCs w:val="24"/>
        </w:rPr>
      </w:pPr>
      <w:r w:rsidRPr="004E113D">
        <w:rPr>
          <w:smallCaps/>
          <w:sz w:val="24"/>
          <w:szCs w:val="24"/>
        </w:rPr>
        <w:t>Manifestaciones</w:t>
      </w:r>
      <w:r w:rsidRPr="004E113D">
        <w:rPr>
          <w:sz w:val="24"/>
          <w:szCs w:val="24"/>
        </w:rPr>
        <w:t xml:space="preserve">. Al respecto el Oferente declara conocer, entender e irrevocablemente aceptar: (i) todos y cada uno de los términos y condiciones de los Documentos de la Emisión, en especial todo lo consignado en las secciones </w:t>
      </w:r>
      <w:r w:rsidRPr="004E113D">
        <w:rPr>
          <w:i/>
          <w:sz w:val="24"/>
          <w:szCs w:val="24"/>
        </w:rPr>
        <w:t>“</w:t>
      </w:r>
      <w:r w:rsidRPr="004E113D">
        <w:rPr>
          <w:i/>
          <w:iCs/>
          <w:sz w:val="24"/>
          <w:szCs w:val="24"/>
        </w:rPr>
        <w:t xml:space="preserve">Términos </w:t>
      </w:r>
      <w:r w:rsidRPr="004E113D">
        <w:rPr>
          <w:i/>
          <w:sz w:val="24"/>
          <w:szCs w:val="24"/>
        </w:rPr>
        <w:t>y</w:t>
      </w:r>
      <w:r w:rsidRPr="004E113D">
        <w:rPr>
          <w:i/>
          <w:iCs/>
          <w:sz w:val="24"/>
          <w:szCs w:val="24"/>
        </w:rPr>
        <w:t xml:space="preserve"> Condiciones de las Obligaciones Negociables”, “Términos y Condiciones Adicionales de las Obligaciones Negociables”, </w:t>
      </w:r>
      <w:r w:rsidRPr="004E113D">
        <w:rPr>
          <w:sz w:val="24"/>
          <w:szCs w:val="24"/>
        </w:rPr>
        <w:t>“</w:t>
      </w:r>
      <w:r w:rsidRPr="004E113D">
        <w:rPr>
          <w:i/>
          <w:sz w:val="24"/>
          <w:szCs w:val="24"/>
        </w:rPr>
        <w:t>Plan de Distribución</w:t>
      </w:r>
      <w:r w:rsidRPr="004E113D">
        <w:rPr>
          <w:sz w:val="24"/>
          <w:szCs w:val="24"/>
        </w:rPr>
        <w:t xml:space="preserve">”, </w:t>
      </w:r>
      <w:r w:rsidRPr="004E113D">
        <w:rPr>
          <w:i/>
          <w:iCs/>
          <w:sz w:val="24"/>
          <w:szCs w:val="24"/>
        </w:rPr>
        <w:t>“Aviso a los Inversores y Declaraciones”</w:t>
      </w:r>
      <w:r w:rsidRPr="004E113D">
        <w:rPr>
          <w:sz w:val="24"/>
          <w:szCs w:val="24"/>
        </w:rPr>
        <w:t xml:space="preserve"> y </w:t>
      </w:r>
      <w:r w:rsidRPr="004E113D">
        <w:rPr>
          <w:i/>
          <w:iCs/>
          <w:sz w:val="24"/>
          <w:szCs w:val="24"/>
        </w:rPr>
        <w:t>“Factores de Riesgo</w:t>
      </w:r>
      <w:r w:rsidRPr="004E113D">
        <w:rPr>
          <w:i/>
          <w:sz w:val="24"/>
          <w:szCs w:val="24"/>
        </w:rPr>
        <w:t>”</w:t>
      </w:r>
      <w:r w:rsidRPr="004E113D">
        <w:rPr>
          <w:sz w:val="24"/>
          <w:szCs w:val="24"/>
        </w:rPr>
        <w:t xml:space="preserve"> del Suplemento de Prospecto y aquellas declaraciones incorporadas como realizadas por los suscriptores de las Obligaciones Negociables Clase 2</w:t>
      </w:r>
      <w:r w:rsidR="00CE134D">
        <w:rPr>
          <w:sz w:val="24"/>
          <w:szCs w:val="24"/>
        </w:rPr>
        <w:t xml:space="preserve"> Adicionales</w:t>
      </w:r>
      <w:r w:rsidRPr="004E113D">
        <w:rPr>
          <w:sz w:val="24"/>
          <w:szCs w:val="24"/>
        </w:rPr>
        <w:t xml:space="preserve"> en los Documentos de la Emisión, adhiriendo y declarando conocer, a través de la suscripción de la presente y a los efectos del cumplimiento de lo dispuesto por el Título VI, Capítulo IV de las Normas de la CNV, la totalidad de la información contenida los Documentos de la Emisión; (</w:t>
      </w:r>
      <w:proofErr w:type="spellStart"/>
      <w:r w:rsidRPr="004E113D">
        <w:rPr>
          <w:sz w:val="24"/>
          <w:szCs w:val="24"/>
        </w:rPr>
        <w:t>ii</w:t>
      </w:r>
      <w:proofErr w:type="spellEnd"/>
      <w:r w:rsidRPr="004E113D">
        <w:rPr>
          <w:sz w:val="24"/>
          <w:szCs w:val="24"/>
        </w:rPr>
        <w:t xml:space="preserve">) que el Agente Colocador podrá, sin necesidad de comunicarle al Oferente, tener inversiones en su propia cartera que sean idénticas o similares a las Obligaciones Negociables Clase 2 </w:t>
      </w:r>
      <w:r w:rsidR="00CE134D">
        <w:rPr>
          <w:sz w:val="24"/>
          <w:szCs w:val="24"/>
        </w:rPr>
        <w:t xml:space="preserve">Adicionales </w:t>
      </w:r>
      <w:r w:rsidRPr="004E113D">
        <w:rPr>
          <w:sz w:val="24"/>
          <w:szCs w:val="24"/>
        </w:rPr>
        <w:t>y podrá comprar tales inversiones a terceros a precios diferentes de los pagados por el Oferente; (</w:t>
      </w:r>
      <w:proofErr w:type="spellStart"/>
      <w:r w:rsidRPr="004E113D">
        <w:rPr>
          <w:sz w:val="24"/>
          <w:szCs w:val="24"/>
        </w:rPr>
        <w:t>iii</w:t>
      </w:r>
      <w:proofErr w:type="spellEnd"/>
      <w:r w:rsidRPr="004E113D">
        <w:rPr>
          <w:sz w:val="24"/>
          <w:szCs w:val="24"/>
        </w:rPr>
        <w:t>) que ni la Emisora ni el Agente Colocador garantizan a los Oferentes que remitan Órdenes de Compra que, mediante el sistema de adjudicación que corresponda a las Obligaciones Negociables Clase 2</w:t>
      </w:r>
      <w:r w:rsidR="00CE134D">
        <w:rPr>
          <w:sz w:val="24"/>
          <w:szCs w:val="24"/>
        </w:rPr>
        <w:t xml:space="preserve"> Adicionales</w:t>
      </w:r>
      <w:r w:rsidRPr="004E113D">
        <w:rPr>
          <w:sz w:val="24"/>
          <w:szCs w:val="24"/>
        </w:rPr>
        <w:t>, se les adjudicará el mismo valor nominal detallado en la Orden de Compra, debido a que puede existir sobresuscripción, así como tampoco garantizan que se les adjudicará la Orden de Compra total o parcialmente en caso de indicar una Tasa Solicitada inferior a la Tasa Aplicable; (</w:t>
      </w:r>
      <w:proofErr w:type="spellStart"/>
      <w:r w:rsidRPr="004E113D">
        <w:rPr>
          <w:sz w:val="24"/>
          <w:szCs w:val="24"/>
        </w:rPr>
        <w:t>iv</w:t>
      </w:r>
      <w:proofErr w:type="spellEnd"/>
      <w:r w:rsidRPr="004E113D">
        <w:rPr>
          <w:sz w:val="24"/>
          <w:szCs w:val="24"/>
        </w:rPr>
        <w:t>) que sujeto a lo dispuesto en el Suplemento de Prospecto, la Emisora y el Agente Colocador se reservan el derecho de dejar sin efecto la emisión en cualquier momento, a más tardar hasta la efectiva emisión de las Obligaciones Negociables Clase 2</w:t>
      </w:r>
      <w:r w:rsidR="00CE134D">
        <w:rPr>
          <w:sz w:val="24"/>
          <w:szCs w:val="24"/>
        </w:rPr>
        <w:t xml:space="preserve"> Adicionales</w:t>
      </w:r>
      <w:r w:rsidRPr="004E113D">
        <w:rPr>
          <w:sz w:val="24"/>
          <w:szCs w:val="24"/>
        </w:rPr>
        <w:t xml:space="preserve">; (v) que ha recibido copia íntegra de los Documentos de la Emisión, los cuales declara haber analizado y comprendido, habiendo obtenido todas las aclaraciones necesarias que pudieran corresponder; (vi) que entiende el alcance de la exposición </w:t>
      </w:r>
      <w:r w:rsidRPr="004E113D">
        <w:rPr>
          <w:sz w:val="24"/>
          <w:szCs w:val="24"/>
        </w:rPr>
        <w:lastRenderedPageBreak/>
        <w:t>al riesgo con relación a la inversión en las Obligaciones Negociables Clase 2</w:t>
      </w:r>
      <w:r w:rsidR="00CE134D">
        <w:rPr>
          <w:sz w:val="24"/>
          <w:szCs w:val="24"/>
        </w:rPr>
        <w:t xml:space="preserve"> Adicionales</w:t>
      </w:r>
      <w:r w:rsidRPr="004E113D">
        <w:rPr>
          <w:sz w:val="24"/>
          <w:szCs w:val="24"/>
        </w:rPr>
        <w:t>, y considera que el mismo es adecuado a su nivel de entendimiento, perfil del inversor y tolerancia al riesgo, y que teniendo en cuenta sus propias circunstancias y condición financiera, se ha asesorado por su propia cuenta y tomado todos los recaudos que razonablemente ha estimado necesarios antes de realizar la misma, sin haber recibido ningún tipo de asesoramiento legal, comercial, financiero, impositivo y/o de otro tipo por parte del Agente Colocador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Agente Colocador y/o de cualquiera de sus sociedades controlantes, controladas, vinculadas o sujetas al control común; (</w:t>
      </w:r>
      <w:proofErr w:type="spellStart"/>
      <w:r w:rsidRPr="004E113D">
        <w:rPr>
          <w:sz w:val="24"/>
          <w:szCs w:val="24"/>
        </w:rPr>
        <w:t>vii</w:t>
      </w:r>
      <w:proofErr w:type="spellEnd"/>
      <w:r w:rsidRPr="004E113D">
        <w:rPr>
          <w:sz w:val="24"/>
          <w:szCs w:val="24"/>
        </w:rPr>
        <w:t>) que la decisión de efectuar esta Orden de Compra ha sido tomada en base a su propio análisis, y que la aceptación por parte del Agente Colocador de la presente no implica recomendación ni sugerencia de su parte a realizar la misma; (</w:t>
      </w:r>
      <w:proofErr w:type="spellStart"/>
      <w:r w:rsidRPr="004E113D">
        <w:rPr>
          <w:sz w:val="24"/>
          <w:szCs w:val="24"/>
        </w:rPr>
        <w:t>viii</w:t>
      </w:r>
      <w:proofErr w:type="spellEnd"/>
      <w:r w:rsidRPr="004E113D">
        <w:rPr>
          <w:sz w:val="24"/>
          <w:szCs w:val="24"/>
        </w:rPr>
        <w:t>) que el Agente Colocador no asume responsabilidad alguna, ni otorga garantía respecto de la Tasa Aplicable que se establezca como resultado del proceso de licitación, así como en el caso que por decisión gubernamental o normativa, se dejara sin efecto esta Orden de Compra, la licitación, o alguna de las operaciones relacionadas con el Suplemento de Prospecto, o se modificara de forma tal la legislación en la materia que la presente se tornara de imposible cumplimiento; (</w:t>
      </w:r>
      <w:proofErr w:type="spellStart"/>
      <w:r w:rsidRPr="004E113D">
        <w:rPr>
          <w:sz w:val="24"/>
          <w:szCs w:val="24"/>
        </w:rPr>
        <w:t>ix</w:t>
      </w:r>
      <w:proofErr w:type="spellEnd"/>
      <w:r w:rsidRPr="004E113D">
        <w:rPr>
          <w:sz w:val="24"/>
          <w:szCs w:val="24"/>
        </w:rPr>
        <w:t>) que la Orden de Compra constituye una solicitud de compra irrevocable, vinculante y definitiva en los términos del Artículo 7 apartado A) del Título VI, Capítulo IV, Sección II de las Normas de la CNV, la cual no podrá ser desistida (salvo en el caso de suspensión y/o prórroga del Período de Licitación Pública) y, por lo tanto, renuncia a su facultad de revocación, ratificación ni de que la misma sea retirada; (x) que el Agente Colocador podrá rechazar esta Orden de Compra de conformidad con lo establecido en el Suplemento de Prospecto y por entender, según su opinión, de que pueda tratarse de una operación sospechosa en los términos de la Ley de Prevención del Lavado de Activos y Financiación del Terrorismo y normas complementarias; (xi) que conoce y acepta que el Agente Colocador percibe comisiones en relación con la colocación de las Obligaciones Negociables Clase 2</w:t>
      </w:r>
      <w:r w:rsidR="00CE134D">
        <w:rPr>
          <w:sz w:val="24"/>
          <w:szCs w:val="24"/>
        </w:rPr>
        <w:t xml:space="preserve"> Adicionales</w:t>
      </w:r>
      <w:r w:rsidRPr="004E113D">
        <w:rPr>
          <w:sz w:val="24"/>
          <w:szCs w:val="24"/>
        </w:rPr>
        <w:t>; (</w:t>
      </w:r>
      <w:proofErr w:type="spellStart"/>
      <w:r w:rsidRPr="004E113D">
        <w:rPr>
          <w:sz w:val="24"/>
          <w:szCs w:val="24"/>
        </w:rPr>
        <w:t>xii</w:t>
      </w:r>
      <w:proofErr w:type="spellEnd"/>
      <w:r w:rsidRPr="004E113D">
        <w:rPr>
          <w:sz w:val="24"/>
          <w:szCs w:val="24"/>
        </w:rPr>
        <w:t>) que sujeto a lo dispuesto en el Suplemento de Prospecto, ni el Agente Colocador, ni la Emisora serán responsables por los problemas, fallas, pérdidas de enlace, errores en la aplicación ni caídas del software al utilizar el Sistema SIOPEL de A3 Mercados S.A; (</w:t>
      </w:r>
      <w:proofErr w:type="spellStart"/>
      <w:r w:rsidRPr="004E113D">
        <w:rPr>
          <w:sz w:val="24"/>
          <w:szCs w:val="24"/>
        </w:rPr>
        <w:t>xiii</w:t>
      </w:r>
      <w:proofErr w:type="spellEnd"/>
      <w:r w:rsidRPr="004E113D">
        <w:rPr>
          <w:sz w:val="24"/>
          <w:szCs w:val="24"/>
        </w:rPr>
        <w:t>) que tiene presente los requisitos dispuestos y la documentación exigida por la Resolución N° 126/2023 (y sus modificatorias y complementarias); (</w:t>
      </w:r>
      <w:proofErr w:type="spellStart"/>
      <w:r w:rsidRPr="004E113D">
        <w:rPr>
          <w:sz w:val="24"/>
          <w:szCs w:val="24"/>
        </w:rPr>
        <w:t>xiv</w:t>
      </w:r>
      <w:proofErr w:type="spellEnd"/>
      <w:r w:rsidRPr="004E113D">
        <w:rPr>
          <w:sz w:val="24"/>
          <w:szCs w:val="24"/>
        </w:rPr>
        <w:t>) que ni la Emisora ni el Agente Colocador garantiza la existencia de mercado secundario para la negociación de las Obligaciones Negociables Clase 2</w:t>
      </w:r>
      <w:r w:rsidR="00CE134D">
        <w:rPr>
          <w:sz w:val="24"/>
          <w:szCs w:val="24"/>
        </w:rPr>
        <w:t xml:space="preserve"> Adicionales</w:t>
      </w:r>
      <w:r w:rsidRPr="004E113D">
        <w:rPr>
          <w:sz w:val="24"/>
          <w:szCs w:val="24"/>
        </w:rPr>
        <w:t>; (</w:t>
      </w:r>
      <w:proofErr w:type="spellStart"/>
      <w:r w:rsidRPr="004E113D">
        <w:rPr>
          <w:sz w:val="24"/>
          <w:szCs w:val="24"/>
        </w:rPr>
        <w:t>xv</w:t>
      </w:r>
      <w:proofErr w:type="spellEnd"/>
      <w:r w:rsidRPr="004E113D">
        <w:rPr>
          <w:sz w:val="24"/>
          <w:szCs w:val="24"/>
        </w:rPr>
        <w:t>) que la Emisora, previa consulta a los Agentes Colocadores, podrá suspender, interrumpir y/o prorrogar, el Período de Licitación Pública en cualquier momento del mismo, en cuyo caso dicha alteración será informada con anterioridad al fin del Período de Licitación Pública, según corresponda, mediante un aviso a ser publicado en el Boletín Diario de la BCBA, en el sitio web de A3 Mercados, en la AIF y en la página web de la Emisora; (</w:t>
      </w:r>
      <w:proofErr w:type="spellStart"/>
      <w:r w:rsidRPr="004E113D">
        <w:rPr>
          <w:sz w:val="24"/>
          <w:szCs w:val="24"/>
        </w:rPr>
        <w:t>xvi</w:t>
      </w:r>
      <w:proofErr w:type="spellEnd"/>
      <w:r w:rsidRPr="004E113D">
        <w:rPr>
          <w:sz w:val="24"/>
          <w:szCs w:val="24"/>
        </w:rPr>
        <w:t>) que todos los datos informados en la presente reciben el carácter de declaración jurada y son correctos y completos al día de la fecha, en tal sentido, el Oferente se compromete a notificar al Agente Colocador cualquier cambio/modificación que se produzca respecto de los datos y documentación aportados dentro de los 30 (treinta) días corridos de producidos; y (</w:t>
      </w:r>
      <w:proofErr w:type="spellStart"/>
      <w:r w:rsidRPr="004E113D">
        <w:rPr>
          <w:sz w:val="24"/>
          <w:szCs w:val="24"/>
        </w:rPr>
        <w:t>xvii</w:t>
      </w:r>
      <w:proofErr w:type="spellEnd"/>
      <w:r w:rsidRPr="004E113D">
        <w:rPr>
          <w:sz w:val="24"/>
          <w:szCs w:val="24"/>
        </w:rPr>
        <w:t>) reconoce que la Emisora se basará en la veracidad y en la exactitud de sus declaraciones, garantías y representaciones.</w:t>
      </w:r>
    </w:p>
    <w:p w14:paraId="658F3F36" w14:textId="77777777" w:rsidR="00DE4149" w:rsidRPr="004E113D" w:rsidRDefault="00DE4149" w:rsidP="00DE4149">
      <w:pPr>
        <w:ind w:right="-36"/>
        <w:jc w:val="both"/>
        <w:rPr>
          <w:sz w:val="24"/>
          <w:szCs w:val="24"/>
        </w:rPr>
      </w:pPr>
    </w:p>
    <w:p w14:paraId="4378F26D" w14:textId="77777777" w:rsidR="00DE4149" w:rsidRPr="004E113D" w:rsidRDefault="00DE4149" w:rsidP="00DE4149">
      <w:pPr>
        <w:ind w:right="-36"/>
        <w:jc w:val="both"/>
        <w:rPr>
          <w:sz w:val="24"/>
          <w:szCs w:val="24"/>
        </w:rPr>
      </w:pPr>
      <w:r w:rsidRPr="004E113D">
        <w:rPr>
          <w:sz w:val="24"/>
          <w:szCs w:val="24"/>
        </w:rPr>
        <w:lastRenderedPageBreak/>
        <w:t>Todos los impuestos, aranceles, cargas, gastos, comisiones, contribuciones y/o gravámenes de cualquier naturaleza que surjan de cualquier incumplimiento por parte del/los firmantes, estarán a su cargo y se reembolsarán íntegramente al Agente Colocador en forma inmediata por cualquier monto que estos hubiesen debido pagar, pudiendo en caso contrario ser debitados de sus cuentas.</w:t>
      </w:r>
    </w:p>
    <w:p w14:paraId="11F92A73" w14:textId="77777777" w:rsidR="00DE4149" w:rsidRPr="004E113D" w:rsidRDefault="00DE4149" w:rsidP="00DE4149">
      <w:pPr>
        <w:ind w:right="-36"/>
        <w:jc w:val="both"/>
        <w:rPr>
          <w:sz w:val="24"/>
          <w:szCs w:val="24"/>
        </w:rPr>
      </w:pPr>
    </w:p>
    <w:p w14:paraId="1EDE3201" w14:textId="77777777" w:rsidR="00DE4149" w:rsidRPr="004E113D" w:rsidRDefault="00DE4149" w:rsidP="00DE4149">
      <w:pPr>
        <w:ind w:right="-36"/>
        <w:jc w:val="both"/>
        <w:rPr>
          <w:sz w:val="24"/>
          <w:szCs w:val="24"/>
        </w:rPr>
      </w:pPr>
      <w:r w:rsidRPr="004E113D">
        <w:rPr>
          <w:sz w:val="24"/>
          <w:szCs w:val="24"/>
        </w:rPr>
        <w:t xml:space="preserve">Todo conflicto relativo a esta Orden de Compra y los derechos y obligaciones emergentes de la </w:t>
      </w:r>
      <w:proofErr w:type="gramStart"/>
      <w:r w:rsidRPr="004E113D">
        <w:rPr>
          <w:sz w:val="24"/>
          <w:szCs w:val="24"/>
        </w:rPr>
        <w:t>misma,</w:t>
      </w:r>
      <w:proofErr w:type="gramEnd"/>
      <w:r w:rsidRPr="004E113D">
        <w:rPr>
          <w:sz w:val="24"/>
          <w:szCs w:val="24"/>
        </w:rPr>
        <w:t xml:space="preserve"> será sometido a la jurisdicción de los tribunales ordinarios en lo comercial con sede en la Ciudad Autónoma de Buenos Aires.</w:t>
      </w:r>
    </w:p>
    <w:p w14:paraId="4D311AFE" w14:textId="77777777" w:rsidR="00DE4149" w:rsidRPr="004E113D" w:rsidRDefault="00DE4149" w:rsidP="00DE4149">
      <w:pPr>
        <w:widowControl w:val="0"/>
        <w:spacing w:after="120"/>
        <w:ind w:right="-36"/>
        <w:jc w:val="both"/>
        <w:rPr>
          <w:rFonts w:eastAsia="MS Mincho"/>
          <w:color w:val="000000"/>
          <w:w w:val="0"/>
          <w:sz w:val="24"/>
          <w:szCs w:val="24"/>
        </w:rPr>
      </w:pPr>
    </w:p>
    <w:p w14:paraId="6FE558D0" w14:textId="77777777" w:rsidR="00DE4149" w:rsidRPr="004E113D" w:rsidRDefault="00DE4149" w:rsidP="00DE4149">
      <w:pPr>
        <w:widowControl w:val="0"/>
        <w:spacing w:line="360" w:lineRule="auto"/>
        <w:ind w:right="-36"/>
        <w:jc w:val="both"/>
        <w:rPr>
          <w:rFonts w:eastAsia="MS Mincho"/>
          <w:smallCaps/>
          <w:color w:val="000000"/>
          <w:w w:val="0"/>
          <w:sz w:val="24"/>
          <w:szCs w:val="24"/>
        </w:rPr>
      </w:pPr>
      <w:r w:rsidRPr="004E113D">
        <w:rPr>
          <w:rFonts w:eastAsia="MS Mincho"/>
          <w:smallCaps/>
          <w:color w:val="000000"/>
          <w:w w:val="0"/>
          <w:sz w:val="24"/>
          <w:szCs w:val="24"/>
        </w:rPr>
        <w:t>Firma: ____________________________</w:t>
      </w:r>
    </w:p>
    <w:p w14:paraId="4C8D1BE6" w14:textId="77777777" w:rsidR="00DE4149" w:rsidRPr="004E113D" w:rsidRDefault="00DE4149" w:rsidP="00DE4149">
      <w:pPr>
        <w:widowControl w:val="0"/>
        <w:spacing w:line="360" w:lineRule="auto"/>
        <w:ind w:right="-36"/>
        <w:jc w:val="both"/>
        <w:rPr>
          <w:rFonts w:eastAsia="MS Mincho"/>
          <w:smallCaps/>
          <w:color w:val="000000"/>
          <w:w w:val="0"/>
          <w:sz w:val="24"/>
          <w:szCs w:val="24"/>
        </w:rPr>
      </w:pPr>
      <w:r w:rsidRPr="004E113D">
        <w:rPr>
          <w:rFonts w:eastAsia="MS Mincho"/>
          <w:smallCaps/>
          <w:color w:val="000000"/>
          <w:w w:val="0"/>
          <w:sz w:val="24"/>
          <w:szCs w:val="24"/>
        </w:rPr>
        <w:t>Aclaración: ______________________</w:t>
      </w:r>
    </w:p>
    <w:p w14:paraId="5C74159A" w14:textId="77777777" w:rsidR="00DE4149" w:rsidRPr="004E113D" w:rsidRDefault="00DE4149" w:rsidP="00DE4149">
      <w:pPr>
        <w:widowControl w:val="0"/>
        <w:spacing w:line="360" w:lineRule="auto"/>
        <w:ind w:right="-36"/>
        <w:jc w:val="both"/>
        <w:rPr>
          <w:rFonts w:eastAsia="MS Mincho"/>
          <w:smallCaps/>
          <w:color w:val="000000"/>
          <w:w w:val="0"/>
          <w:sz w:val="24"/>
          <w:szCs w:val="24"/>
        </w:rPr>
      </w:pPr>
      <w:r w:rsidRPr="004E113D">
        <w:rPr>
          <w:rFonts w:eastAsia="MS Mincho"/>
          <w:smallCaps/>
          <w:color w:val="000000"/>
          <w:w w:val="0"/>
          <w:sz w:val="24"/>
          <w:szCs w:val="24"/>
        </w:rPr>
        <w:t>Carácter: ________________________</w:t>
      </w:r>
    </w:p>
    <w:p w14:paraId="6C6DA6FC" w14:textId="77777777" w:rsidR="00DE4149" w:rsidRPr="004E113D" w:rsidRDefault="00DE4149" w:rsidP="00DE4149">
      <w:pPr>
        <w:widowControl w:val="0"/>
        <w:jc w:val="both"/>
        <w:rPr>
          <w:b/>
          <w:sz w:val="24"/>
          <w:szCs w:val="24"/>
        </w:rPr>
      </w:pPr>
      <w:r w:rsidRPr="004E113D">
        <w:rPr>
          <w:rFonts w:eastAsia="MS Mincho"/>
          <w:smallCaps/>
          <w:color w:val="000000"/>
          <w:w w:val="0"/>
          <w:sz w:val="24"/>
          <w:szCs w:val="24"/>
        </w:rPr>
        <w:t>C.U.I.T. / Documento N°: ___________</w:t>
      </w:r>
      <w:r w:rsidRPr="004E113D" w:rsidDel="004519A3">
        <w:rPr>
          <w:b/>
          <w:sz w:val="24"/>
          <w:szCs w:val="24"/>
        </w:rPr>
        <w:t xml:space="preserve"> </w:t>
      </w:r>
    </w:p>
    <w:p w14:paraId="5687133A" w14:textId="77777777" w:rsidR="00180945" w:rsidRDefault="00180945"/>
    <w:sectPr w:rsidR="00180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49"/>
    <w:rsid w:val="00017F41"/>
    <w:rsid w:val="00070EF5"/>
    <w:rsid w:val="00113CA0"/>
    <w:rsid w:val="00180945"/>
    <w:rsid w:val="002C54DD"/>
    <w:rsid w:val="004D1044"/>
    <w:rsid w:val="00632C36"/>
    <w:rsid w:val="00786EA1"/>
    <w:rsid w:val="008F434B"/>
    <w:rsid w:val="00BC6139"/>
    <w:rsid w:val="00CA7C2C"/>
    <w:rsid w:val="00CE134D"/>
    <w:rsid w:val="00D602B7"/>
    <w:rsid w:val="00D82E3B"/>
    <w:rsid w:val="00DE4149"/>
    <w:rsid w:val="00EA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7391"/>
  <w15:chartTrackingRefBased/>
  <w15:docId w15:val="{6DEB1EB4-FC7B-4D2E-978F-3F356C7C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49"/>
    <w:p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Ttulo1">
    <w:name w:val="heading 1"/>
    <w:basedOn w:val="Normal"/>
    <w:next w:val="Normal"/>
    <w:link w:val="Ttulo1Car"/>
    <w:uiPriority w:val="9"/>
    <w:qFormat/>
    <w:rsid w:val="00DE41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Ttulo2">
    <w:name w:val="heading 2"/>
    <w:basedOn w:val="Normal"/>
    <w:next w:val="Normal"/>
    <w:link w:val="Ttulo2Car"/>
    <w:uiPriority w:val="9"/>
    <w:semiHidden/>
    <w:unhideWhenUsed/>
    <w:qFormat/>
    <w:rsid w:val="00DE41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Ttulo3">
    <w:name w:val="heading 3"/>
    <w:basedOn w:val="Normal"/>
    <w:next w:val="Normal"/>
    <w:link w:val="Ttulo3Car"/>
    <w:uiPriority w:val="9"/>
    <w:semiHidden/>
    <w:unhideWhenUsed/>
    <w:qFormat/>
    <w:rsid w:val="00DE41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Ttulo4">
    <w:name w:val="heading 4"/>
    <w:basedOn w:val="Normal"/>
    <w:next w:val="Normal"/>
    <w:link w:val="Ttulo4Car"/>
    <w:uiPriority w:val="9"/>
    <w:semiHidden/>
    <w:unhideWhenUsed/>
    <w:qFormat/>
    <w:rsid w:val="00DE41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Ttulo5">
    <w:name w:val="heading 5"/>
    <w:basedOn w:val="Normal"/>
    <w:next w:val="Normal"/>
    <w:link w:val="Ttulo5Car"/>
    <w:uiPriority w:val="9"/>
    <w:semiHidden/>
    <w:unhideWhenUsed/>
    <w:qFormat/>
    <w:rsid w:val="00DE414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Ttulo6">
    <w:name w:val="heading 6"/>
    <w:basedOn w:val="Normal"/>
    <w:next w:val="Normal"/>
    <w:link w:val="Ttulo6Car"/>
    <w:uiPriority w:val="9"/>
    <w:semiHidden/>
    <w:unhideWhenUsed/>
    <w:qFormat/>
    <w:rsid w:val="00DE414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Ttulo7">
    <w:name w:val="heading 7"/>
    <w:basedOn w:val="Normal"/>
    <w:next w:val="Normal"/>
    <w:link w:val="Ttulo7Car"/>
    <w:uiPriority w:val="9"/>
    <w:semiHidden/>
    <w:unhideWhenUsed/>
    <w:qFormat/>
    <w:rsid w:val="00DE414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Ttulo8">
    <w:name w:val="heading 8"/>
    <w:basedOn w:val="Normal"/>
    <w:next w:val="Normal"/>
    <w:link w:val="Ttulo8Car"/>
    <w:uiPriority w:val="9"/>
    <w:semiHidden/>
    <w:unhideWhenUsed/>
    <w:qFormat/>
    <w:rsid w:val="00DE414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Ttulo9">
    <w:name w:val="heading 9"/>
    <w:basedOn w:val="Normal"/>
    <w:next w:val="Normal"/>
    <w:link w:val="Ttulo9Car"/>
    <w:uiPriority w:val="9"/>
    <w:semiHidden/>
    <w:unhideWhenUsed/>
    <w:qFormat/>
    <w:rsid w:val="00DE414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41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41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41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41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41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41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41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41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4149"/>
    <w:rPr>
      <w:rFonts w:eastAsiaTheme="majorEastAsia" w:cstheme="majorBidi"/>
      <w:color w:val="272727" w:themeColor="text1" w:themeTint="D8"/>
    </w:rPr>
  </w:style>
  <w:style w:type="paragraph" w:styleId="Ttulo">
    <w:name w:val="Title"/>
    <w:basedOn w:val="Normal"/>
    <w:next w:val="Normal"/>
    <w:link w:val="TtuloCar"/>
    <w:uiPriority w:val="10"/>
    <w:qFormat/>
    <w:rsid w:val="00DE4149"/>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tuloCar">
    <w:name w:val="Título Car"/>
    <w:basedOn w:val="Fuentedeprrafopredeter"/>
    <w:link w:val="Ttulo"/>
    <w:uiPriority w:val="10"/>
    <w:rsid w:val="00DE41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41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tuloCar">
    <w:name w:val="Subtítulo Car"/>
    <w:basedOn w:val="Fuentedeprrafopredeter"/>
    <w:link w:val="Subttulo"/>
    <w:uiPriority w:val="11"/>
    <w:rsid w:val="00DE41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414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CitaCar">
    <w:name w:val="Cita Car"/>
    <w:basedOn w:val="Fuentedeprrafopredeter"/>
    <w:link w:val="Cita"/>
    <w:uiPriority w:val="29"/>
    <w:rsid w:val="00DE4149"/>
    <w:rPr>
      <w:i/>
      <w:iCs/>
      <w:color w:val="404040" w:themeColor="text1" w:themeTint="BF"/>
    </w:rPr>
  </w:style>
  <w:style w:type="paragraph" w:styleId="Prrafodelista">
    <w:name w:val="List Paragraph"/>
    <w:aliases w:val="Used List Paragraph,lp"/>
    <w:basedOn w:val="Normal"/>
    <w:link w:val="PrrafodelistaCar"/>
    <w:uiPriority w:val="34"/>
    <w:qFormat/>
    <w:rsid w:val="00DE4149"/>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nfasisintenso">
    <w:name w:val="Intense Emphasis"/>
    <w:basedOn w:val="Fuentedeprrafopredeter"/>
    <w:uiPriority w:val="21"/>
    <w:qFormat/>
    <w:rsid w:val="00DE4149"/>
    <w:rPr>
      <w:i/>
      <w:iCs/>
      <w:color w:val="0F4761" w:themeColor="accent1" w:themeShade="BF"/>
    </w:rPr>
  </w:style>
  <w:style w:type="paragraph" w:styleId="Citadestacada">
    <w:name w:val="Intense Quote"/>
    <w:basedOn w:val="Normal"/>
    <w:next w:val="Normal"/>
    <w:link w:val="CitadestacadaCar"/>
    <w:uiPriority w:val="30"/>
    <w:qFormat/>
    <w:rsid w:val="00DE41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CitadestacadaCar">
    <w:name w:val="Cita destacada Car"/>
    <w:basedOn w:val="Fuentedeprrafopredeter"/>
    <w:link w:val="Citadestacada"/>
    <w:uiPriority w:val="30"/>
    <w:rsid w:val="00DE4149"/>
    <w:rPr>
      <w:i/>
      <w:iCs/>
      <w:color w:val="0F4761" w:themeColor="accent1" w:themeShade="BF"/>
    </w:rPr>
  </w:style>
  <w:style w:type="character" w:styleId="Referenciaintensa">
    <w:name w:val="Intense Reference"/>
    <w:basedOn w:val="Fuentedeprrafopredeter"/>
    <w:uiPriority w:val="32"/>
    <w:qFormat/>
    <w:rsid w:val="00DE4149"/>
    <w:rPr>
      <w:b/>
      <w:bCs/>
      <w:smallCaps/>
      <w:color w:val="0F4761" w:themeColor="accent1" w:themeShade="BF"/>
      <w:spacing w:val="5"/>
    </w:rPr>
  </w:style>
  <w:style w:type="paragraph" w:styleId="Piedepgina">
    <w:name w:val="footer"/>
    <w:aliases w:val="pie de página"/>
    <w:basedOn w:val="Normal"/>
    <w:link w:val="PiedepginaCar"/>
    <w:uiPriority w:val="99"/>
    <w:rsid w:val="00DE414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DE4149"/>
    <w:rPr>
      <w:rFonts w:ascii="Times New Roman" w:eastAsia="Times New Roman" w:hAnsi="Times New Roman" w:cs="Times New Roman"/>
      <w:kern w:val="0"/>
      <w:sz w:val="20"/>
      <w:szCs w:val="20"/>
      <w:lang w:val="es-ES" w:eastAsia="es-ES"/>
      <w14:ligatures w14:val="none"/>
    </w:rPr>
  </w:style>
  <w:style w:type="paragraph" w:styleId="Textoindependiente">
    <w:name w:val="Body Text"/>
    <w:basedOn w:val="Normal"/>
    <w:link w:val="TextoindependienteCar"/>
    <w:rsid w:val="00DE4149"/>
    <w:pPr>
      <w:jc w:val="both"/>
    </w:pPr>
    <w:rPr>
      <w:sz w:val="24"/>
    </w:rPr>
  </w:style>
  <w:style w:type="character" w:customStyle="1" w:styleId="TextoindependienteCar">
    <w:name w:val="Texto independiente Car"/>
    <w:basedOn w:val="Fuentedeprrafopredeter"/>
    <w:link w:val="Textoindependiente"/>
    <w:rsid w:val="00DE4149"/>
    <w:rPr>
      <w:rFonts w:ascii="Times New Roman" w:eastAsia="Times New Roman" w:hAnsi="Times New Roman" w:cs="Times New Roman"/>
      <w:kern w:val="0"/>
      <w:szCs w:val="20"/>
      <w:lang w:val="es-ES" w:eastAsia="es-ES"/>
      <w14:ligatures w14:val="none"/>
    </w:rPr>
  </w:style>
  <w:style w:type="character" w:styleId="Hipervnculo">
    <w:name w:val="Hyperlink"/>
    <w:uiPriority w:val="99"/>
    <w:rsid w:val="00DE4149"/>
    <w:rPr>
      <w:color w:val="0000FF"/>
      <w:u w:val="single"/>
    </w:rPr>
  </w:style>
  <w:style w:type="table" w:styleId="Tablaconcuadrcula">
    <w:name w:val="Table Grid"/>
    <w:basedOn w:val="Tablanormal"/>
    <w:uiPriority w:val="39"/>
    <w:rsid w:val="00DE4149"/>
    <w:pPr>
      <w:spacing w:after="0" w:line="240" w:lineRule="auto"/>
    </w:pPr>
    <w:rPr>
      <w:rFonts w:ascii="Times New Roman" w:eastAsia="Times New Roman" w:hAnsi="Times New Roman" w:cs="Times New Roman"/>
      <w:kern w:val="0"/>
      <w:sz w:val="20"/>
      <w:szCs w:val="20"/>
      <w:lang w:val="es-ES" w:eastAsia="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Used List Paragraph Car,lp Car"/>
    <w:link w:val="Prrafodelista"/>
    <w:uiPriority w:val="34"/>
    <w:locked/>
    <w:rsid w:val="00DE4149"/>
  </w:style>
  <w:style w:type="paragraph" w:customStyle="1" w:styleId="Default">
    <w:name w:val="Default"/>
    <w:link w:val="DefaultChar"/>
    <w:qFormat/>
    <w:rsid w:val="00DE4149"/>
    <w:pPr>
      <w:autoSpaceDE w:val="0"/>
      <w:autoSpaceDN w:val="0"/>
      <w:adjustRightInd w:val="0"/>
      <w:spacing w:after="0" w:line="240" w:lineRule="auto"/>
    </w:pPr>
    <w:rPr>
      <w:rFonts w:ascii="Calibri" w:eastAsia="Calibri" w:hAnsi="Calibri" w:cs="Calibri"/>
      <w:color w:val="000000"/>
      <w:kern w:val="0"/>
      <w:lang w:val="es-AR"/>
      <w14:ligatures w14:val="none"/>
    </w:rPr>
  </w:style>
  <w:style w:type="character" w:customStyle="1" w:styleId="DefaultChar">
    <w:name w:val="Default Char"/>
    <w:basedOn w:val="Fuentedeprrafopredeter"/>
    <w:link w:val="Default"/>
    <w:locked/>
    <w:rsid w:val="00DE4149"/>
    <w:rPr>
      <w:rFonts w:ascii="Calibri" w:eastAsia="Calibri" w:hAnsi="Calibri" w:cs="Calibri"/>
      <w:color w:val="000000"/>
      <w:kern w:val="0"/>
      <w:lang w:val="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2439</Words>
  <Characters>13419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Bruchou &amp; Funes de Rioja - Abogados</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Negro, Victoria</dc:creator>
  <cp:keywords/>
  <dc:description/>
  <cp:lastModifiedBy>Ariel Garay</cp:lastModifiedBy>
  <cp:revision>2</cp:revision>
  <dcterms:created xsi:type="dcterms:W3CDTF">2025-10-17T14:15:00Z</dcterms:created>
  <dcterms:modified xsi:type="dcterms:W3CDTF">2025-10-17T14:15:00Z</dcterms:modified>
</cp:coreProperties>
</file>